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94940">
      <w:pPr>
        <w:widowControl/>
        <w:rPr>
          <w:rFonts w:hint="default" w:ascii="Times New Roman" w:hAnsi="Times New Roman" w:cs="Times New Roman"/>
          <w:bCs/>
          <w:color w:val="auto"/>
          <w:kern w:val="0"/>
          <w:sz w:val="56"/>
          <w:szCs w:val="56"/>
          <w:highlight w:val="none"/>
        </w:rPr>
      </w:pPr>
    </w:p>
    <w:p w14:paraId="6731BEA9">
      <w:pPr>
        <w:widowControl/>
        <w:rPr>
          <w:rFonts w:hint="default" w:ascii="Times New Roman" w:hAnsi="Times New Roman" w:cs="Times New Roman"/>
          <w:bCs/>
          <w:color w:val="auto"/>
          <w:kern w:val="0"/>
          <w:sz w:val="56"/>
          <w:szCs w:val="56"/>
          <w:highlight w:val="none"/>
        </w:rPr>
      </w:pPr>
    </w:p>
    <w:p w14:paraId="7B462980">
      <w:pPr>
        <w:pageBreakBefore w:val="0"/>
        <w:widowControl/>
        <w:kinsoku/>
        <w:overflowPunct/>
        <w:topLinePunct w:val="0"/>
        <w:autoSpaceDE/>
        <w:autoSpaceDN/>
        <w:bidi w:val="0"/>
        <w:jc w:val="center"/>
        <w:outlineLvl w:val="9"/>
        <w:rPr>
          <w:rFonts w:hint="eastAsia" w:ascii="宋体" w:hAnsi="宋体" w:eastAsia="宋体" w:cs="宋体"/>
          <w:b/>
          <w:bCs w:val="0"/>
          <w:kern w:val="0"/>
          <w:sz w:val="40"/>
          <w:szCs w:val="40"/>
          <w:highlight w:val="none"/>
        </w:rPr>
      </w:pPr>
      <w:r>
        <w:rPr>
          <w:rFonts w:hint="eastAsia" w:ascii="宋体" w:hAnsi="宋体" w:eastAsia="宋体" w:cs="宋体"/>
          <w:b/>
          <w:bCs w:val="0"/>
          <w:sz w:val="40"/>
          <w:szCs w:val="40"/>
          <w:highlight w:val="none"/>
          <w:lang w:eastAsia="zh-CN"/>
        </w:rPr>
        <w:t>韦斗大道（纬二十路）（经四十路</w:t>
      </w:r>
      <w:r>
        <w:rPr>
          <w:rFonts w:hint="eastAsia" w:ascii="宋体" w:hAnsi="宋体" w:cs="宋体"/>
          <w:b/>
          <w:bCs w:val="0"/>
          <w:sz w:val="40"/>
          <w:szCs w:val="40"/>
          <w:highlight w:val="none"/>
          <w:lang w:eastAsia="zh-CN"/>
        </w:rPr>
        <w:t>—</w:t>
      </w:r>
      <w:r>
        <w:rPr>
          <w:rFonts w:hint="eastAsia" w:ascii="宋体" w:hAnsi="宋体" w:eastAsia="宋体" w:cs="宋体"/>
          <w:b/>
          <w:bCs w:val="0"/>
          <w:sz w:val="40"/>
          <w:szCs w:val="40"/>
          <w:highlight w:val="none"/>
          <w:lang w:eastAsia="zh-CN"/>
        </w:rPr>
        <w:t>造字台路）道路工程EPC工程总承包</w:t>
      </w:r>
      <w:r>
        <w:rPr>
          <w:rFonts w:hint="eastAsia" w:ascii="宋体" w:hAnsi="宋体" w:eastAsia="宋体" w:cs="宋体"/>
          <w:b/>
          <w:bCs w:val="0"/>
          <w:kern w:val="0"/>
          <w:sz w:val="40"/>
          <w:szCs w:val="40"/>
          <w:highlight w:val="none"/>
        </w:rPr>
        <w:t>合同</w:t>
      </w:r>
    </w:p>
    <w:p w14:paraId="1E20FC2F">
      <w:pPr>
        <w:wordWrap w:val="0"/>
        <w:spacing w:line="360" w:lineRule="auto"/>
        <w:contextualSpacing/>
        <w:jc w:val="center"/>
        <w:rPr>
          <w:rFonts w:ascii="仿宋" w:hAnsi="仿宋" w:eastAsia="仿宋" w:cs="仿宋"/>
          <w:b/>
          <w:sz w:val="28"/>
          <w:szCs w:val="28"/>
          <w:highlight w:val="none"/>
        </w:rPr>
      </w:pPr>
    </w:p>
    <w:p w14:paraId="598FC430">
      <w:pPr>
        <w:widowControl/>
        <w:jc w:val="center"/>
        <w:rPr>
          <w:rFonts w:hint="eastAsia" w:ascii="宋体" w:hAnsi="宋体" w:cs="宋体"/>
          <w:b/>
          <w:bCs/>
          <w:kern w:val="0"/>
          <w:sz w:val="72"/>
          <w:szCs w:val="56"/>
          <w:highlight w:val="none"/>
        </w:rPr>
      </w:pPr>
      <w:bookmarkStart w:id="0" w:name="_Toc152045609"/>
      <w:bookmarkStart w:id="1" w:name="_Toc480910053"/>
      <w:bookmarkStart w:id="2" w:name="_Toc144974577"/>
      <w:bookmarkStart w:id="3" w:name="_Toc480909772"/>
      <w:bookmarkStart w:id="4" w:name="_Toc247514033"/>
      <w:bookmarkStart w:id="5" w:name="_Toc152042387"/>
      <w:bookmarkStart w:id="6" w:name="_Toc247527634"/>
    </w:p>
    <w:p w14:paraId="70265613">
      <w:pPr>
        <w:outlineLvl w:val="9"/>
        <w:rPr>
          <w:rFonts w:hint="eastAsia"/>
        </w:rPr>
      </w:pPr>
    </w:p>
    <w:p w14:paraId="14418485">
      <w:pPr>
        <w:widowControl/>
        <w:jc w:val="center"/>
        <w:rPr>
          <w:rFonts w:hint="eastAsia" w:ascii="宋体" w:hAnsi="宋体" w:cs="宋体"/>
          <w:b/>
          <w:bCs/>
          <w:kern w:val="0"/>
          <w:sz w:val="40"/>
          <w:szCs w:val="40"/>
          <w:highlight w:val="none"/>
        </w:rPr>
      </w:pPr>
    </w:p>
    <w:p w14:paraId="32194052">
      <w:pPr>
        <w:widowControl/>
        <w:jc w:val="center"/>
        <w:rPr>
          <w:rFonts w:hint="eastAsia" w:ascii="宋体" w:hAnsi="宋体" w:cs="宋体"/>
          <w:b/>
          <w:bCs/>
          <w:kern w:val="0"/>
          <w:sz w:val="40"/>
          <w:szCs w:val="40"/>
          <w:highlight w:val="none"/>
        </w:rPr>
      </w:pPr>
    </w:p>
    <w:p w14:paraId="4944DAE7">
      <w:pPr>
        <w:widowControl/>
        <w:jc w:val="center"/>
        <w:rPr>
          <w:rFonts w:hint="eastAsia" w:ascii="宋体" w:hAnsi="宋体" w:cs="宋体"/>
          <w:b/>
          <w:bCs/>
          <w:kern w:val="0"/>
          <w:sz w:val="40"/>
          <w:szCs w:val="40"/>
          <w:highlight w:val="none"/>
        </w:rPr>
      </w:pPr>
    </w:p>
    <w:p w14:paraId="4F6703C9">
      <w:pPr>
        <w:widowControl/>
        <w:jc w:val="center"/>
        <w:rPr>
          <w:rFonts w:hint="eastAsia" w:ascii="宋体" w:hAnsi="宋体" w:cs="宋体"/>
          <w:b/>
          <w:bCs/>
          <w:kern w:val="0"/>
          <w:sz w:val="40"/>
          <w:szCs w:val="40"/>
          <w:highlight w:val="none"/>
        </w:rPr>
      </w:pPr>
    </w:p>
    <w:p w14:paraId="31B75E73">
      <w:pPr>
        <w:widowControl/>
        <w:ind w:firstLine="200"/>
        <w:jc w:val="center"/>
        <w:rPr>
          <w:rFonts w:hint="eastAsia" w:ascii="宋体" w:hAnsi="宋体" w:cs="宋体"/>
          <w:b/>
          <w:bCs/>
          <w:kern w:val="0"/>
          <w:sz w:val="36"/>
          <w:szCs w:val="36"/>
          <w:highlight w:val="none"/>
        </w:rPr>
      </w:pPr>
    </w:p>
    <w:p w14:paraId="49425B66">
      <w:pPr>
        <w:adjustRightInd w:val="0"/>
        <w:snapToGrid w:val="0"/>
        <w:spacing w:line="360" w:lineRule="auto"/>
        <w:rPr>
          <w:rFonts w:hint="eastAsia" w:ascii="宋体" w:hAnsi="宋体" w:cs="宋体"/>
          <w:sz w:val="36"/>
          <w:szCs w:val="36"/>
          <w:highlight w:val="none"/>
          <w:u w:val="single"/>
        </w:rPr>
      </w:pPr>
      <w:r>
        <w:rPr>
          <w:rFonts w:hint="eastAsia" w:ascii="宋体" w:hAnsi="宋体" w:cs="宋体"/>
          <w:sz w:val="32"/>
          <w:szCs w:val="32"/>
          <w:highlight w:val="none"/>
        </w:rPr>
        <w:t>发包人：</w:t>
      </w:r>
      <w:r>
        <w:rPr>
          <w:rFonts w:hint="eastAsia" w:ascii="宋体" w:hAnsi="宋体" w:cs="宋体"/>
          <w:sz w:val="32"/>
          <w:szCs w:val="32"/>
          <w:highlight w:val="none"/>
          <w:u w:val="single"/>
          <w:lang w:val="zh-CN"/>
        </w:rPr>
        <w:t>西安高新技术产业开发区公共项目建设管理中心</w:t>
      </w:r>
    </w:p>
    <w:p w14:paraId="2E8E3983">
      <w:pPr>
        <w:adjustRightInd w:val="0"/>
        <w:snapToGrid w:val="0"/>
        <w:spacing w:line="360" w:lineRule="auto"/>
        <w:ind w:left="5440" w:hanging="5440" w:hangingChars="1700"/>
        <w:rPr>
          <w:rFonts w:hint="eastAsia" w:ascii="宋体" w:hAnsi="宋体" w:cs="宋体"/>
          <w:sz w:val="32"/>
          <w:szCs w:val="32"/>
          <w:highlight w:val="none"/>
        </w:rPr>
      </w:pPr>
      <w:r>
        <w:rPr>
          <w:rFonts w:hint="eastAsia" w:ascii="宋体" w:hAnsi="宋体" w:cs="宋体"/>
          <w:sz w:val="32"/>
          <w:szCs w:val="32"/>
          <w:highlight w:val="none"/>
          <w:u w:val="none"/>
          <w:lang w:val="en-US" w:eastAsia="zh-CN"/>
        </w:rPr>
        <w:t>承包人</w:t>
      </w:r>
      <w:r>
        <w:rPr>
          <w:rFonts w:hint="eastAsia" w:ascii="宋体" w:hAnsi="宋体" w:cs="宋体"/>
          <w:sz w:val="32"/>
          <w:szCs w:val="32"/>
          <w:highlight w:val="none"/>
          <w:u w:val="none"/>
        </w:rPr>
        <w:t>：</w:t>
      </w:r>
      <w:r>
        <w:rPr>
          <w:rFonts w:hint="eastAsia" w:ascii="宋体" w:hAnsi="宋体" w:cs="宋体"/>
          <w:sz w:val="32"/>
          <w:szCs w:val="32"/>
          <w:highlight w:val="none"/>
          <w:u w:val="single"/>
        </w:rPr>
        <w:t>陕西建工集团股份有限公司</w:t>
      </w:r>
      <w:r>
        <w:rPr>
          <w:rFonts w:hint="eastAsia" w:ascii="宋体" w:hAnsi="宋体" w:cs="宋体"/>
          <w:sz w:val="32"/>
          <w:szCs w:val="32"/>
          <w:highlight w:val="none"/>
        </w:rPr>
        <w:t>（联合体牵头人）</w:t>
      </w:r>
    </w:p>
    <w:p w14:paraId="3D686F8E">
      <w:pPr>
        <w:adjustRightInd w:val="0"/>
        <w:snapToGrid w:val="0"/>
        <w:spacing w:line="360" w:lineRule="auto"/>
        <w:ind w:left="5437" w:leftChars="532" w:hanging="4160" w:hangingChars="1300"/>
        <w:rPr>
          <w:rFonts w:hint="eastAsia" w:ascii="宋体" w:hAnsi="宋体" w:cs="宋体"/>
          <w:sz w:val="36"/>
          <w:szCs w:val="36"/>
          <w:highlight w:val="none"/>
        </w:rPr>
      </w:pPr>
      <w:r>
        <w:rPr>
          <w:rFonts w:hint="eastAsia" w:ascii="宋体" w:hAnsi="宋体" w:cs="宋体"/>
          <w:sz w:val="32"/>
          <w:szCs w:val="32"/>
          <w:highlight w:val="none"/>
          <w:u w:val="single"/>
        </w:rPr>
        <w:t>广州地铁设计研究院股份有限公司</w:t>
      </w:r>
      <w:r>
        <w:rPr>
          <w:rFonts w:hint="eastAsia" w:ascii="宋体" w:hAnsi="宋体" w:cs="宋体"/>
          <w:sz w:val="32"/>
          <w:szCs w:val="32"/>
          <w:highlight w:val="none"/>
        </w:rPr>
        <w:t>（联合体成员）</w:t>
      </w:r>
    </w:p>
    <w:p w14:paraId="1F11AEC0">
      <w:pPr>
        <w:outlineLvl w:val="9"/>
        <w:rPr>
          <w:rFonts w:hint="eastAsia" w:ascii="宋体" w:hAnsi="宋体" w:eastAsia="宋体" w:cs="宋体"/>
          <w:sz w:val="32"/>
          <w:szCs w:val="32"/>
          <w:highlight w:val="none"/>
          <w:u w:val="single"/>
        </w:rPr>
      </w:pPr>
      <w:r>
        <w:rPr>
          <w:rFonts w:hint="eastAsia" w:ascii="宋体" w:hAnsi="宋体" w:eastAsia="宋体" w:cs="宋体"/>
          <w:sz w:val="32"/>
          <w:szCs w:val="32"/>
          <w:highlight w:val="none"/>
        </w:rPr>
        <w:t>签约日期：</w:t>
      </w:r>
      <w:r>
        <w:rPr>
          <w:rFonts w:hint="eastAsia" w:ascii="宋体" w:hAnsi="宋体" w:eastAsia="宋体" w:cs="宋体"/>
          <w:sz w:val="32"/>
          <w:szCs w:val="32"/>
          <w:highlight w:val="none"/>
          <w:u w:val="single"/>
        </w:rPr>
        <w:t xml:space="preserve">    </w:t>
      </w:r>
      <w:r>
        <w:rPr>
          <w:rFonts w:hint="eastAsia" w:ascii="宋体" w:hAnsi="宋体" w:cs="宋体"/>
          <w:sz w:val="32"/>
          <w:szCs w:val="32"/>
          <w:highlight w:val="none"/>
          <w:u w:val="single"/>
          <w:lang w:val="en-US" w:eastAsia="zh-CN"/>
        </w:rPr>
        <w:t xml:space="preserve">  </w:t>
      </w:r>
      <w:r>
        <w:rPr>
          <w:rFonts w:hint="eastAsia" w:ascii="宋体" w:hAnsi="宋体" w:eastAsia="宋体" w:cs="宋体"/>
          <w:sz w:val="32"/>
          <w:szCs w:val="32"/>
          <w:highlight w:val="none"/>
          <w:u w:val="single"/>
        </w:rPr>
        <w:t xml:space="preserve">年    月  </w:t>
      </w:r>
      <w:r>
        <w:rPr>
          <w:rFonts w:hint="eastAsia" w:ascii="宋体" w:hAnsi="宋体" w:cs="宋体"/>
          <w:sz w:val="32"/>
          <w:szCs w:val="32"/>
          <w:highlight w:val="none"/>
          <w:u w:val="single"/>
          <w:lang w:val="en-US" w:eastAsia="zh-CN"/>
        </w:rPr>
        <w:t xml:space="preserve"> </w:t>
      </w:r>
      <w:r>
        <w:rPr>
          <w:rFonts w:hint="eastAsia" w:ascii="宋体" w:hAnsi="宋体" w:eastAsia="宋体" w:cs="宋体"/>
          <w:sz w:val="32"/>
          <w:szCs w:val="32"/>
          <w:highlight w:val="none"/>
          <w:u w:val="single"/>
        </w:rPr>
        <w:t xml:space="preserve"> 日      </w:t>
      </w:r>
      <w:r>
        <w:rPr>
          <w:rFonts w:hint="eastAsia" w:ascii="宋体" w:hAnsi="宋体" w:cs="宋体"/>
          <w:sz w:val="32"/>
          <w:szCs w:val="32"/>
          <w:highlight w:val="none"/>
          <w:u w:val="single"/>
          <w:lang w:val="en-US" w:eastAsia="zh-CN"/>
        </w:rPr>
        <w:t xml:space="preserve"> </w:t>
      </w:r>
      <w:r>
        <w:rPr>
          <w:rFonts w:hint="eastAsia" w:ascii="宋体" w:hAnsi="宋体" w:eastAsia="宋体" w:cs="宋体"/>
          <w:sz w:val="32"/>
          <w:szCs w:val="32"/>
          <w:highlight w:val="none"/>
          <w:u w:val="single"/>
        </w:rPr>
        <w:t xml:space="preserve">  </w:t>
      </w:r>
    </w:p>
    <w:p w14:paraId="772EF612">
      <w:pPr>
        <w:rPr>
          <w:rFonts w:hint="eastAsia" w:ascii="宋体" w:hAnsi="宋体" w:eastAsia="宋体" w:cs="宋体"/>
          <w:sz w:val="32"/>
          <w:szCs w:val="32"/>
          <w:highlight w:val="none"/>
          <w:u w:val="single"/>
        </w:rPr>
        <w:sectPr>
          <w:headerReference r:id="rId5" w:type="default"/>
          <w:pgSz w:w="11906" w:h="16838"/>
          <w:pgMar w:top="1440" w:right="1800" w:bottom="1440" w:left="1800" w:header="851" w:footer="992" w:gutter="0"/>
          <w:pgNumType w:fmt="decimal"/>
          <w:cols w:space="720" w:num="1"/>
          <w:docGrid w:type="lines" w:linePitch="312" w:charSpace="0"/>
        </w:sectPr>
      </w:pPr>
    </w:p>
    <w:bookmarkEnd w:id="0"/>
    <w:bookmarkEnd w:id="1"/>
    <w:bookmarkEnd w:id="2"/>
    <w:bookmarkEnd w:id="3"/>
    <w:bookmarkEnd w:id="4"/>
    <w:bookmarkEnd w:id="5"/>
    <w:bookmarkEnd w:id="6"/>
    <w:p w14:paraId="2FBA0D93">
      <w:pPr>
        <w:pStyle w:val="3"/>
        <w:jc w:val="center"/>
        <w:rPr>
          <w:rFonts w:hint="eastAsia" w:ascii="宋体" w:hAnsi="宋体" w:cs="宋体"/>
          <w:sz w:val="36"/>
          <w:szCs w:val="36"/>
          <w:highlight w:val="none"/>
        </w:rPr>
      </w:pPr>
      <w:r>
        <w:rPr>
          <w:rFonts w:hint="eastAsia" w:ascii="宋体" w:hAnsi="宋体" w:cs="宋体"/>
          <w:sz w:val="36"/>
          <w:szCs w:val="36"/>
          <w:highlight w:val="none"/>
        </w:rPr>
        <w:t>第一部分  合同协议书</w:t>
      </w:r>
    </w:p>
    <w:p w14:paraId="17D58373">
      <w:pPr>
        <w:spacing w:line="360" w:lineRule="auto"/>
        <w:rPr>
          <w:rFonts w:hint="eastAsia" w:ascii="宋体" w:hAnsi="宋体" w:cs="宋体"/>
          <w:sz w:val="22"/>
          <w:highlight w:val="none"/>
        </w:rPr>
      </w:pPr>
    </w:p>
    <w:p w14:paraId="79632CFA">
      <w:pPr>
        <w:spacing w:line="360" w:lineRule="auto"/>
        <w:ind w:firstLine="660" w:firstLineChars="300"/>
        <w:rPr>
          <w:rFonts w:hint="eastAsia" w:ascii="宋体" w:hAnsi="宋体" w:cs="宋体"/>
          <w:sz w:val="22"/>
          <w:highlight w:val="none"/>
        </w:rPr>
      </w:pPr>
      <w:r>
        <w:rPr>
          <w:rFonts w:hint="eastAsia" w:ascii="宋体" w:hAnsi="宋体" w:cs="宋体"/>
          <w:sz w:val="22"/>
          <w:highlight w:val="none"/>
          <w:u w:val="single"/>
          <w:lang w:val="zh-CN"/>
        </w:rPr>
        <w:t>西安高新技术产业开发区公共项目建设管理中心</w:t>
      </w:r>
      <w:r>
        <w:rPr>
          <w:rFonts w:hint="eastAsia" w:ascii="宋体" w:hAnsi="宋体" w:cs="宋体"/>
          <w:sz w:val="22"/>
          <w:highlight w:val="none"/>
        </w:rPr>
        <w:t>（发包人名称，以下简称“发包人”）为实施</w:t>
      </w:r>
      <w:r>
        <w:rPr>
          <w:rFonts w:hint="eastAsia" w:ascii="宋体" w:hAnsi="宋体" w:cs="宋体"/>
          <w:sz w:val="22"/>
          <w:highlight w:val="none"/>
          <w:u w:val="single"/>
          <w:lang w:eastAsia="zh-CN"/>
        </w:rPr>
        <w:t>韦斗大道（纬二十路）（经四十路—造字台路）道路工程EPC工程总承包</w:t>
      </w:r>
      <w:r>
        <w:rPr>
          <w:rFonts w:hint="eastAsia" w:ascii="宋体" w:hAnsi="宋体" w:cs="宋体"/>
          <w:sz w:val="22"/>
          <w:highlight w:val="none"/>
        </w:rPr>
        <w:t>（工程名称），已接受</w:t>
      </w:r>
      <w:r>
        <w:rPr>
          <w:rFonts w:hint="eastAsia" w:ascii="宋体" w:hAnsi="宋体" w:cs="宋体"/>
          <w:sz w:val="22"/>
          <w:highlight w:val="none"/>
          <w:u w:val="single"/>
        </w:rPr>
        <w:t>陕西建工集团股份有限公司（联合体牵头人）（广州地铁设计研究院股份有限公司）（联合体成员）</w:t>
      </w:r>
      <w:r>
        <w:rPr>
          <w:rFonts w:hint="eastAsia" w:ascii="宋体" w:hAnsi="宋体" w:cs="宋体"/>
          <w:sz w:val="22"/>
          <w:highlight w:val="none"/>
        </w:rPr>
        <w:t>（承包人名称，以下简称“承包人”）对该工程EPC设计和施工总承包投标，发包人和承包人共同达成如下协议。</w:t>
      </w:r>
    </w:p>
    <w:p w14:paraId="2935BE77">
      <w:pPr>
        <w:numPr>
          <w:ilvl w:val="0"/>
          <w:numId w:val="1"/>
        </w:num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项目概况（工程内容及规模）：</w:t>
      </w:r>
    </w:p>
    <w:p w14:paraId="517B2DD7">
      <w:pPr>
        <w:spacing w:line="360" w:lineRule="auto"/>
        <w:ind w:firstLine="440" w:firstLineChars="200"/>
        <w:rPr>
          <w:rFonts w:hint="eastAsia" w:ascii="宋体" w:hAnsi="宋体" w:cs="宋体"/>
          <w:sz w:val="22"/>
          <w:highlight w:val="none"/>
        </w:rPr>
      </w:pPr>
      <w:r>
        <w:rPr>
          <w:rFonts w:hint="eastAsia" w:ascii="宋体" w:hAnsi="宋体" w:cs="宋体"/>
          <w:sz w:val="22"/>
          <w:highlight w:val="none"/>
          <w:lang w:val="en-US" w:eastAsia="zh-CN"/>
        </w:rPr>
        <w:t>韦斗大道（纬二十路）（经四十路—造字台路）道路工程EPC工程总承包，工程内容为</w:t>
      </w:r>
      <w:r>
        <w:rPr>
          <w:rFonts w:hint="eastAsia" w:ascii="宋体" w:hAnsi="宋体" w:cs="宋体"/>
          <w:sz w:val="22"/>
          <w:highlight w:val="none"/>
          <w:u w:val="single"/>
          <w:lang w:val="en-US" w:eastAsia="zh-CN"/>
        </w:rPr>
        <w:t>建设韦斗大道（纬二十路）（经四十路—造字台路）道路工程（其中经二十路—经二十二路段半幅修建），长度 4650.858 米，规划红线宽 40-50 米，包括道路、交通、照明等工程</w:t>
      </w:r>
      <w:r>
        <w:rPr>
          <w:rFonts w:hint="eastAsia" w:ascii="宋体" w:hAnsi="宋体" w:cs="宋体"/>
          <w:sz w:val="22"/>
          <w:highlight w:val="none"/>
          <w:lang w:val="en-US" w:eastAsia="zh-CN"/>
        </w:rPr>
        <w:t>。工程概算约为</w:t>
      </w:r>
      <w:r>
        <w:rPr>
          <w:rFonts w:hint="eastAsia" w:ascii="宋体" w:hAnsi="宋体" w:cs="宋体"/>
          <w:sz w:val="22"/>
          <w:highlight w:val="none"/>
          <w:u w:val="single"/>
          <w:lang w:val="en-US" w:eastAsia="zh-CN"/>
        </w:rPr>
        <w:t xml:space="preserve"> 31169.62 </w:t>
      </w:r>
      <w:r>
        <w:rPr>
          <w:rFonts w:hint="eastAsia" w:ascii="宋体" w:hAnsi="宋体" w:cs="宋体"/>
          <w:sz w:val="22"/>
          <w:highlight w:val="none"/>
          <w:lang w:val="en-US" w:eastAsia="zh-CN"/>
        </w:rPr>
        <w:t>万元。</w:t>
      </w:r>
    </w:p>
    <w:p w14:paraId="2CB73CE1">
      <w:pPr>
        <w:spacing w:line="360" w:lineRule="auto"/>
        <w:ind w:firstLine="440" w:firstLineChars="200"/>
        <w:rPr>
          <w:rFonts w:hint="eastAsia" w:ascii="宋体" w:hAnsi="宋体" w:eastAsia="宋体" w:cs="宋体"/>
          <w:sz w:val="22"/>
          <w:highlight w:val="none"/>
          <w:lang w:eastAsia="zh-CN"/>
        </w:rPr>
      </w:pPr>
      <w:r>
        <w:rPr>
          <w:rFonts w:hint="eastAsia" w:ascii="宋体" w:hAnsi="宋体" w:cs="宋体"/>
          <w:sz w:val="22"/>
          <w:highlight w:val="none"/>
        </w:rPr>
        <w:t>2.承包人工作内容</w:t>
      </w:r>
      <w:r>
        <w:rPr>
          <w:rFonts w:hint="eastAsia" w:ascii="宋体" w:hAnsi="宋体" w:cs="宋体"/>
          <w:sz w:val="22"/>
          <w:highlight w:val="none"/>
          <w:lang w:eastAsia="zh-CN"/>
        </w:rPr>
        <w:t>：</w:t>
      </w:r>
    </w:p>
    <w:p w14:paraId="286432F8">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cs="宋体"/>
          <w:sz w:val="22"/>
          <w:highlight w:val="none"/>
        </w:rPr>
      </w:pPr>
      <w:r>
        <w:rPr>
          <w:rFonts w:hint="eastAsia" w:ascii="宋体" w:hAnsi="宋体" w:cs="宋体"/>
          <w:sz w:val="22"/>
          <w:highlight w:val="none"/>
          <w:lang w:val="en-US" w:eastAsia="zh-CN"/>
        </w:rPr>
        <w:t>承包范围为韦斗大道（纬二十路）（经四十路—造字台路）道路工程EPC工程总承包，包括但不限于施工图设计、方案深化设计及图纸范围内的所有工程施工、材料设施设备采购、相关分项验收及竣工验收、工程交付、工程保修期内的缺陷修复和保修工作等与项目相关的一切内容，同时承担相关协调工作。</w:t>
      </w:r>
    </w:p>
    <w:p w14:paraId="3C800A2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3．合同文件的组成</w:t>
      </w:r>
    </w:p>
    <w:p w14:paraId="277D6E9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下列文件共同构成合同文件：</w:t>
      </w:r>
    </w:p>
    <w:p w14:paraId="5643C550">
      <w:pPr>
        <w:numPr>
          <w:ilvl w:val="0"/>
          <w:numId w:val="2"/>
        </w:num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本合同协议书；</w:t>
      </w:r>
    </w:p>
    <w:p w14:paraId="6E5FA2E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（2）专用合同条款；</w:t>
      </w:r>
    </w:p>
    <w:p w14:paraId="004FDC6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（3）合同附件：</w:t>
      </w:r>
    </w:p>
    <w:p w14:paraId="79A06EF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（4）通用合同条款；</w:t>
      </w:r>
    </w:p>
    <w:p w14:paraId="0ED5B7A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（5）技术标准和要求；</w:t>
      </w:r>
    </w:p>
    <w:p w14:paraId="39CDD6E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（6）中标通知书；</w:t>
      </w:r>
    </w:p>
    <w:p w14:paraId="1A45EF9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（7）评标过程中发出的问题澄清通知、问题的澄清；</w:t>
      </w:r>
    </w:p>
    <w:p w14:paraId="74A5479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（8）招标期间发出的对招标文件的澄清、修改；</w:t>
      </w:r>
    </w:p>
    <w:p w14:paraId="43492B3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（9）投标函及投标函附录；</w:t>
      </w:r>
    </w:p>
    <w:p w14:paraId="2C4FAF3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（10）价格清单；</w:t>
      </w:r>
    </w:p>
    <w:p w14:paraId="5DBEA64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（11）招标文件其他内容；</w:t>
      </w:r>
    </w:p>
    <w:p w14:paraId="69A862E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（12）投标文件其他内容；</w:t>
      </w:r>
    </w:p>
    <w:p w14:paraId="4CD32DF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（13）承包人建议。</w:t>
      </w:r>
    </w:p>
    <w:p w14:paraId="38D2294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 上述文件互相补充和解释，如有不明确或不一致之处，以合同约定次序在先者为准。</w:t>
      </w:r>
    </w:p>
    <w:p w14:paraId="578D021A">
      <w:pPr>
        <w:spacing w:line="360" w:lineRule="auto"/>
        <w:ind w:firstLine="440" w:firstLineChars="200"/>
        <w:rPr>
          <w:rFonts w:hint="eastAsia" w:ascii="宋体" w:hAnsi="宋体" w:eastAsia="宋体" w:cs="宋体"/>
          <w:sz w:val="28"/>
          <w:szCs w:val="22"/>
          <w:highlight w:val="none"/>
          <w:lang w:eastAsia="zh-CN"/>
        </w:rPr>
      </w:pPr>
      <w:r>
        <w:rPr>
          <w:rFonts w:hint="eastAsia" w:ascii="宋体" w:hAnsi="宋体" w:cs="宋体"/>
          <w:sz w:val="22"/>
          <w:highlight w:val="none"/>
        </w:rPr>
        <w:t>5. 签约合同总价：（小写）¥</w:t>
      </w:r>
      <w:r>
        <w:rPr>
          <w:rFonts w:hint="eastAsia" w:ascii="宋体" w:hAnsi="宋体" w:cs="宋体"/>
          <w:sz w:val="22"/>
          <w:highlight w:val="none"/>
          <w:u w:val="single"/>
          <w:lang w:val="en-US" w:eastAsia="zh-CN"/>
        </w:rPr>
        <w:t xml:space="preserve"> </w:t>
      </w:r>
      <w:r>
        <w:rPr>
          <w:rFonts w:hint="eastAsia" w:ascii="宋体" w:hAnsi="宋体" w:cs="宋体"/>
          <w:sz w:val="22"/>
          <w:highlight w:val="none"/>
          <w:u w:val="single"/>
        </w:rPr>
        <w:t>279481371.66</w:t>
      </w:r>
      <w:r>
        <w:rPr>
          <w:rFonts w:hint="eastAsia" w:ascii="宋体" w:hAnsi="宋体" w:cs="宋体"/>
          <w:sz w:val="22"/>
          <w:highlight w:val="none"/>
          <w:u w:val="single"/>
          <w:lang w:val="en-US" w:eastAsia="zh-CN"/>
        </w:rPr>
        <w:t xml:space="preserve"> </w:t>
      </w:r>
      <w:r>
        <w:rPr>
          <w:rFonts w:hint="eastAsia" w:ascii="宋体" w:hAnsi="宋体" w:cs="宋体"/>
          <w:sz w:val="22"/>
          <w:highlight w:val="none"/>
        </w:rPr>
        <w:t>元</w:t>
      </w:r>
      <w:r>
        <w:rPr>
          <w:rFonts w:hint="eastAsia" w:ascii="宋体" w:hAnsi="宋体" w:cs="宋体"/>
          <w:sz w:val="22"/>
          <w:highlight w:val="none"/>
          <w:lang w:val="en-US" w:eastAsia="zh-CN"/>
        </w:rPr>
        <w:t xml:space="preserve"> </w:t>
      </w:r>
      <w:r>
        <w:rPr>
          <w:rFonts w:hint="eastAsia" w:ascii="宋体" w:hAnsi="宋体" w:cs="宋体"/>
          <w:sz w:val="22"/>
          <w:highlight w:val="none"/>
        </w:rPr>
        <w:t>（大写）</w:t>
      </w:r>
      <w:r>
        <w:rPr>
          <w:rFonts w:hint="eastAsia" w:ascii="宋体" w:hAnsi="宋体" w:cs="宋体"/>
          <w:sz w:val="22"/>
          <w:highlight w:val="none"/>
          <w:u w:val="single"/>
          <w:lang w:val="en-US" w:eastAsia="zh-CN"/>
        </w:rPr>
        <w:t>贰亿柒仟玖佰肆拾捌万壹仟叁佰柒拾壹元陆角陆分</w:t>
      </w:r>
      <w:r>
        <w:rPr>
          <w:rFonts w:hint="eastAsia" w:ascii="宋体" w:hAnsi="宋体" w:cs="宋体"/>
          <w:sz w:val="22"/>
          <w:highlight w:val="none"/>
          <w:lang w:eastAsia="zh-CN"/>
        </w:rPr>
        <w:t>。</w:t>
      </w:r>
    </w:p>
    <w:tbl>
      <w:tblPr>
        <w:tblStyle w:val="14"/>
        <w:tblpPr w:leftFromText="180" w:rightFromText="180" w:vertAnchor="text" w:horzAnchor="page" w:tblpX="1317" w:tblpY="307"/>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5"/>
        <w:gridCol w:w="2009"/>
        <w:gridCol w:w="1523"/>
        <w:gridCol w:w="1816"/>
        <w:gridCol w:w="2690"/>
      </w:tblGrid>
      <w:tr w14:paraId="27F5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BD5FA93">
            <w:pPr>
              <w:ind w:firstLine="840" w:firstLineChars="400"/>
              <w:rPr>
                <w:rFonts w:hint="eastAsia"/>
                <w:sz w:val="21"/>
                <w:szCs w:val="22"/>
                <w:highlight w:val="none"/>
              </w:rPr>
            </w:pPr>
            <w:r>
              <w:rPr>
                <w:sz w:val="21"/>
                <w:szCs w:val="22"/>
                <w:highlight w:val="none"/>
              </w:rPr>
              <mc:AlternateContent>
                <mc:Choice Requires="wps">
                  <w:drawing>
                    <wp:anchor distT="0" distB="0" distL="114300" distR="114300" simplePos="0" relativeHeight="251660288" behindDoc="0" locked="0" layoutInCell="1" allowOverlap="1">
                      <wp:simplePos x="0" y="0"/>
                      <wp:positionH relativeFrom="column">
                        <wp:posOffset>-45085</wp:posOffset>
                      </wp:positionH>
                      <wp:positionV relativeFrom="paragraph">
                        <wp:posOffset>38100</wp:posOffset>
                      </wp:positionV>
                      <wp:extent cx="1227455" cy="444500"/>
                      <wp:effectExtent l="1905" t="4445" r="8890" b="8255"/>
                      <wp:wrapNone/>
                      <wp:docPr id="3" name="直接连接符 3"/>
                      <wp:cNvGraphicFramePr/>
                      <a:graphic xmlns:a="http://schemas.openxmlformats.org/drawingml/2006/main">
                        <a:graphicData uri="http://schemas.microsoft.com/office/word/2010/wordprocessingShape">
                          <wps:wsp>
                            <wps:cNvCnPr/>
                            <wps:spPr>
                              <a:xfrm>
                                <a:off x="0" y="0"/>
                                <a:ext cx="1227455" cy="444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5pt;margin-top:3pt;height:35pt;width:96.65pt;z-index:251660288;mso-width-relative:page;mso-height-relative:page;" filled="f" stroked="t" coordsize="21600,21600" o:gfxdata="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7G1NUAAAAHAQAADwAAAAAAAAABACAAAAAiAAAAZHJzL2Rvd25yZXYueG1s&#10;UEsBAhQAFAAAAAgAh07iQGyZm777AQAA6QMAAA4AAAAAAAAAAQAgAAAAJAEAAGRycy9lMm9Eb2Mu&#10;eG1sUEsFBgAAAAAGAAYAWQEAAJEFAAAAAA==&#10;">
                      <v:fill on="f" focussize="0,0"/>
                      <v:stroke color="#000000" joinstyle="round"/>
                      <v:imagedata o:title=""/>
                      <o:lock v:ext="edit" aspectratio="f"/>
                    </v:line>
                  </w:pict>
                </mc:Fallback>
              </mc:AlternateContent>
            </w:r>
            <w:r>
              <w:rPr>
                <w:rFonts w:hint="eastAsia"/>
                <w:sz w:val="21"/>
                <w:szCs w:val="22"/>
                <w:highlight w:val="none"/>
              </w:rPr>
              <w:t>金额</w:t>
            </w:r>
          </w:p>
          <w:p w14:paraId="2106BFB8">
            <w:pPr>
              <w:pStyle w:val="9"/>
              <w:ind w:left="0"/>
              <w:rPr>
                <w:sz w:val="24"/>
                <w:szCs w:val="20"/>
                <w:highlight w:val="none"/>
              </w:rPr>
            </w:pPr>
            <w:r>
              <w:rPr>
                <w:rFonts w:hint="eastAsia" w:ascii="宋体" w:hAnsi="宋体" w:cs="宋体"/>
                <w:sz w:val="22"/>
                <w:szCs w:val="22"/>
                <w:highlight w:val="none"/>
              </w:rPr>
              <w:t>类别</w:t>
            </w:r>
          </w:p>
        </w:tc>
        <w:tc>
          <w:tcPr>
            <w:tcW w:w="1000" w:type="pct"/>
            <w:noWrap w:val="0"/>
            <w:vAlign w:val="center"/>
          </w:tcPr>
          <w:p w14:paraId="1580463C">
            <w:pPr>
              <w:widowControl/>
              <w:jc w:val="center"/>
              <w:textAlignment w:val="center"/>
              <w:rPr>
                <w:rFonts w:hint="eastAsia" w:ascii="宋体" w:hAnsi="宋体" w:cs="宋体"/>
                <w:sz w:val="24"/>
                <w:szCs w:val="24"/>
                <w:highlight w:val="none"/>
              </w:rPr>
            </w:pPr>
            <w:r>
              <w:rPr>
                <w:rFonts w:hint="eastAsia" w:ascii="宋体" w:hAnsi="宋体" w:cs="宋体"/>
                <w:color w:val="000000"/>
                <w:kern w:val="0"/>
                <w:sz w:val="22"/>
                <w:szCs w:val="22"/>
                <w:highlight w:val="none"/>
                <w:lang w:bidi="ar"/>
              </w:rPr>
              <w:t>含税金额（元）</w:t>
            </w:r>
          </w:p>
        </w:tc>
        <w:tc>
          <w:tcPr>
            <w:tcW w:w="758" w:type="pct"/>
            <w:noWrap w:val="0"/>
            <w:vAlign w:val="center"/>
          </w:tcPr>
          <w:p w14:paraId="789DA822">
            <w:pPr>
              <w:widowControl/>
              <w:jc w:val="center"/>
              <w:textAlignment w:val="center"/>
              <w:rPr>
                <w:rFonts w:hint="eastAsia" w:ascii="宋体" w:hAnsi="宋体" w:cs="宋体"/>
                <w:sz w:val="24"/>
                <w:szCs w:val="24"/>
                <w:highlight w:val="none"/>
              </w:rPr>
            </w:pPr>
            <w:r>
              <w:rPr>
                <w:rFonts w:hint="eastAsia" w:ascii="宋体" w:hAnsi="宋体" w:cs="宋体"/>
                <w:color w:val="000000"/>
                <w:kern w:val="0"/>
                <w:sz w:val="22"/>
                <w:szCs w:val="22"/>
                <w:highlight w:val="none"/>
                <w:lang w:bidi="ar"/>
              </w:rPr>
              <w:t>税率（%）</w:t>
            </w:r>
          </w:p>
        </w:tc>
        <w:tc>
          <w:tcPr>
            <w:tcW w:w="904" w:type="pct"/>
            <w:noWrap w:val="0"/>
            <w:vAlign w:val="center"/>
          </w:tcPr>
          <w:p w14:paraId="1867C96B">
            <w:pPr>
              <w:widowControl/>
              <w:jc w:val="center"/>
              <w:textAlignment w:val="center"/>
              <w:rPr>
                <w:rFonts w:hint="eastAsia" w:ascii="宋体" w:hAnsi="宋体" w:cs="宋体"/>
                <w:sz w:val="24"/>
                <w:szCs w:val="24"/>
                <w:highlight w:val="none"/>
              </w:rPr>
            </w:pPr>
            <w:r>
              <w:rPr>
                <w:rFonts w:hint="eastAsia" w:ascii="宋体" w:hAnsi="宋体" w:cs="宋体"/>
                <w:color w:val="000000"/>
                <w:kern w:val="0"/>
                <w:sz w:val="22"/>
                <w:szCs w:val="22"/>
                <w:highlight w:val="none"/>
                <w:lang w:bidi="ar"/>
              </w:rPr>
              <w:t>税金（元）</w:t>
            </w:r>
          </w:p>
        </w:tc>
        <w:tc>
          <w:tcPr>
            <w:tcW w:w="1338" w:type="pct"/>
            <w:noWrap w:val="0"/>
            <w:vAlign w:val="center"/>
          </w:tcPr>
          <w:p w14:paraId="10BB4509">
            <w:pPr>
              <w:widowControl/>
              <w:jc w:val="center"/>
              <w:textAlignment w:val="center"/>
              <w:rPr>
                <w:rFonts w:hint="eastAsia" w:ascii="宋体" w:hAnsi="宋体" w:cs="宋体"/>
                <w:sz w:val="24"/>
                <w:szCs w:val="24"/>
                <w:highlight w:val="none"/>
              </w:rPr>
            </w:pPr>
            <w:r>
              <w:rPr>
                <w:rFonts w:hint="eastAsia" w:ascii="宋体" w:hAnsi="宋体" w:cs="宋体"/>
                <w:color w:val="000000"/>
                <w:kern w:val="0"/>
                <w:sz w:val="22"/>
                <w:szCs w:val="22"/>
                <w:highlight w:val="none"/>
                <w:lang w:bidi="ar"/>
              </w:rPr>
              <w:t>不含增税金额（元）</w:t>
            </w:r>
          </w:p>
        </w:tc>
      </w:tr>
      <w:tr w14:paraId="5420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998" w:type="pct"/>
            <w:noWrap w:val="0"/>
            <w:vAlign w:val="center"/>
          </w:tcPr>
          <w:p w14:paraId="1CE1D9F9">
            <w:pPr>
              <w:widowControl/>
              <w:jc w:val="center"/>
              <w:textAlignment w:val="center"/>
              <w:rPr>
                <w:rFonts w:hint="eastAsia" w:ascii="宋体" w:hAnsi="宋体" w:cs="宋体"/>
                <w:sz w:val="24"/>
                <w:szCs w:val="24"/>
                <w:highlight w:val="none"/>
              </w:rPr>
            </w:pPr>
            <w:r>
              <w:rPr>
                <w:rFonts w:hint="eastAsia" w:ascii="宋体" w:hAnsi="宋体" w:cs="宋体"/>
                <w:color w:val="000000"/>
                <w:kern w:val="0"/>
                <w:sz w:val="22"/>
                <w:szCs w:val="22"/>
                <w:highlight w:val="none"/>
                <w:lang w:bidi="ar"/>
              </w:rPr>
              <w:t>设计费（暂定）</w:t>
            </w:r>
          </w:p>
        </w:tc>
        <w:tc>
          <w:tcPr>
            <w:tcW w:w="1000" w:type="pct"/>
            <w:noWrap w:val="0"/>
            <w:vAlign w:val="center"/>
          </w:tcPr>
          <w:p w14:paraId="27C6082E">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rPr>
              <w:t>5198862.17</w:t>
            </w:r>
          </w:p>
        </w:tc>
        <w:tc>
          <w:tcPr>
            <w:tcW w:w="758" w:type="pct"/>
            <w:noWrap w:val="0"/>
            <w:vAlign w:val="center"/>
          </w:tcPr>
          <w:p w14:paraId="342182A2">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p>
        </w:tc>
        <w:tc>
          <w:tcPr>
            <w:tcW w:w="1816" w:type="dxa"/>
            <w:noWrap w:val="0"/>
            <w:vAlign w:val="center"/>
          </w:tcPr>
          <w:p w14:paraId="0A6DF9FC">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lang w:val="en-US" w:eastAsia="zh-CN"/>
              </w:rPr>
              <w:t>294275.22</w:t>
            </w:r>
          </w:p>
        </w:tc>
        <w:tc>
          <w:tcPr>
            <w:tcW w:w="2690" w:type="dxa"/>
            <w:noWrap w:val="0"/>
            <w:vAlign w:val="center"/>
          </w:tcPr>
          <w:p w14:paraId="7516DFEE">
            <w:pPr>
              <w:widowControl/>
              <w:jc w:val="center"/>
              <w:textAlignment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4904586.95</w:t>
            </w:r>
          </w:p>
        </w:tc>
      </w:tr>
      <w:tr w14:paraId="2CAA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D351614">
            <w:pPr>
              <w:widowControl/>
              <w:jc w:val="center"/>
              <w:textAlignment w:val="center"/>
              <w:rPr>
                <w:rFonts w:hint="eastAsia" w:ascii="宋体" w:hAnsi="宋体" w:cs="宋体"/>
                <w:sz w:val="24"/>
                <w:szCs w:val="24"/>
                <w:highlight w:val="none"/>
              </w:rPr>
            </w:pPr>
            <w:r>
              <w:rPr>
                <w:rFonts w:hint="eastAsia" w:ascii="宋体" w:hAnsi="宋体" w:cs="宋体"/>
                <w:color w:val="000000"/>
                <w:kern w:val="0"/>
                <w:sz w:val="22"/>
                <w:szCs w:val="22"/>
                <w:highlight w:val="none"/>
                <w:lang w:bidi="ar"/>
              </w:rPr>
              <w:t>建筑安装工程费（暂定）</w:t>
            </w:r>
          </w:p>
        </w:tc>
        <w:tc>
          <w:tcPr>
            <w:tcW w:w="1000" w:type="pct"/>
            <w:noWrap w:val="0"/>
            <w:vAlign w:val="center"/>
          </w:tcPr>
          <w:p w14:paraId="23802410">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rPr>
              <w:t>256749811.49</w:t>
            </w:r>
          </w:p>
        </w:tc>
        <w:tc>
          <w:tcPr>
            <w:tcW w:w="758" w:type="pct"/>
            <w:noWrap w:val="0"/>
            <w:vAlign w:val="center"/>
          </w:tcPr>
          <w:p w14:paraId="05586376">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p>
        </w:tc>
        <w:tc>
          <w:tcPr>
            <w:tcW w:w="1816" w:type="dxa"/>
            <w:noWrap w:val="0"/>
            <w:vAlign w:val="center"/>
          </w:tcPr>
          <w:p w14:paraId="7BDEA063">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lang w:val="en-US" w:eastAsia="zh-CN"/>
              </w:rPr>
              <w:t>21199525.72</w:t>
            </w:r>
          </w:p>
        </w:tc>
        <w:tc>
          <w:tcPr>
            <w:tcW w:w="2690" w:type="dxa"/>
            <w:noWrap w:val="0"/>
            <w:vAlign w:val="center"/>
          </w:tcPr>
          <w:p w14:paraId="3ED7C24E">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lang w:val="en-US" w:eastAsia="zh-CN"/>
              </w:rPr>
              <w:t>235550285.77</w:t>
            </w:r>
          </w:p>
        </w:tc>
      </w:tr>
      <w:tr w14:paraId="160C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5366797">
            <w:pPr>
              <w:widowControl/>
              <w:jc w:val="center"/>
              <w:textAlignment w:val="center"/>
              <w:rPr>
                <w:rFonts w:hint="eastAsia" w:ascii="宋体" w:hAnsi="宋体" w:cs="宋体"/>
                <w:color w:val="000000"/>
                <w:kern w:val="0"/>
                <w:sz w:val="22"/>
                <w:szCs w:val="22"/>
                <w:highlight w:val="none"/>
                <w:lang w:bidi="ar"/>
              </w:rPr>
            </w:pPr>
            <w:r>
              <w:rPr>
                <w:rFonts w:hint="eastAsia" w:ascii="宋体" w:hAnsi="宋体" w:cs="宋体"/>
                <w:sz w:val="22"/>
                <w:highlight w:val="none"/>
              </w:rPr>
              <w:t>预备费</w:t>
            </w:r>
          </w:p>
        </w:tc>
        <w:tc>
          <w:tcPr>
            <w:tcW w:w="1000" w:type="pct"/>
            <w:noWrap w:val="0"/>
            <w:vAlign w:val="center"/>
          </w:tcPr>
          <w:p w14:paraId="30F3A4E8">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rPr>
              <w:t>16210098.00</w:t>
            </w:r>
          </w:p>
        </w:tc>
        <w:tc>
          <w:tcPr>
            <w:tcW w:w="758" w:type="pct"/>
            <w:noWrap w:val="0"/>
            <w:vAlign w:val="center"/>
          </w:tcPr>
          <w:p w14:paraId="5A844E10">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p>
        </w:tc>
        <w:tc>
          <w:tcPr>
            <w:tcW w:w="1816" w:type="dxa"/>
            <w:noWrap w:val="0"/>
            <w:vAlign w:val="center"/>
          </w:tcPr>
          <w:p w14:paraId="59515CD8">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lang w:val="en-US" w:eastAsia="zh-CN"/>
              </w:rPr>
              <w:t>1338448.46</w:t>
            </w:r>
          </w:p>
        </w:tc>
        <w:tc>
          <w:tcPr>
            <w:tcW w:w="2690" w:type="dxa"/>
            <w:noWrap w:val="0"/>
            <w:vAlign w:val="center"/>
          </w:tcPr>
          <w:p w14:paraId="52E97876">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lang w:val="en-US" w:eastAsia="zh-CN"/>
              </w:rPr>
              <w:t>14871649.54</w:t>
            </w:r>
          </w:p>
        </w:tc>
      </w:tr>
      <w:tr w14:paraId="0F2C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2F54FE3">
            <w:pPr>
              <w:widowControl/>
              <w:jc w:val="center"/>
              <w:textAlignment w:val="center"/>
              <w:rPr>
                <w:rFonts w:hint="eastAsia" w:ascii="宋体" w:hAnsi="宋体" w:cs="宋体"/>
                <w:sz w:val="24"/>
                <w:szCs w:val="24"/>
                <w:highlight w:val="none"/>
              </w:rPr>
            </w:pPr>
            <w:r>
              <w:rPr>
                <w:rFonts w:hint="eastAsia" w:ascii="宋体" w:hAnsi="宋体" w:cs="宋体"/>
                <w:color w:val="000000"/>
                <w:kern w:val="0"/>
                <w:sz w:val="22"/>
                <w:szCs w:val="22"/>
                <w:highlight w:val="none"/>
                <w:lang w:bidi="ar"/>
              </w:rPr>
              <w:t>场地准备及临时设施费</w:t>
            </w:r>
          </w:p>
        </w:tc>
        <w:tc>
          <w:tcPr>
            <w:tcW w:w="1000" w:type="pct"/>
            <w:noWrap w:val="0"/>
            <w:vAlign w:val="center"/>
          </w:tcPr>
          <w:p w14:paraId="43561964">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rPr>
              <w:t>1322600.00</w:t>
            </w:r>
          </w:p>
        </w:tc>
        <w:tc>
          <w:tcPr>
            <w:tcW w:w="758" w:type="pct"/>
            <w:noWrap w:val="0"/>
            <w:vAlign w:val="center"/>
          </w:tcPr>
          <w:p w14:paraId="5E4293B5">
            <w:pPr>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p>
        </w:tc>
        <w:tc>
          <w:tcPr>
            <w:tcW w:w="1816" w:type="dxa"/>
            <w:noWrap w:val="0"/>
            <w:vAlign w:val="center"/>
          </w:tcPr>
          <w:p w14:paraId="6516E5F6">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lang w:val="en-US" w:eastAsia="zh-CN"/>
              </w:rPr>
              <w:t>109205.50</w:t>
            </w:r>
          </w:p>
        </w:tc>
        <w:tc>
          <w:tcPr>
            <w:tcW w:w="2690" w:type="dxa"/>
            <w:noWrap w:val="0"/>
            <w:vAlign w:val="center"/>
          </w:tcPr>
          <w:p w14:paraId="244970AA">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lang w:val="en-US" w:eastAsia="zh-CN"/>
              </w:rPr>
              <w:t>1213394.50</w:t>
            </w:r>
          </w:p>
        </w:tc>
      </w:tr>
      <w:tr w14:paraId="086A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77FD80C">
            <w:pPr>
              <w:widowControl/>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合计</w:t>
            </w:r>
          </w:p>
        </w:tc>
        <w:tc>
          <w:tcPr>
            <w:tcW w:w="1000" w:type="pct"/>
            <w:noWrap w:val="0"/>
            <w:vAlign w:val="center"/>
          </w:tcPr>
          <w:p w14:paraId="759DD472">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rPr>
              <w:t>279481371.66</w:t>
            </w:r>
          </w:p>
        </w:tc>
        <w:tc>
          <w:tcPr>
            <w:tcW w:w="758" w:type="pct"/>
            <w:noWrap w:val="0"/>
            <w:vAlign w:val="center"/>
          </w:tcPr>
          <w:p w14:paraId="01897E19">
            <w:pPr>
              <w:jc w:val="center"/>
              <w:rPr>
                <w:rFonts w:hint="eastAsia" w:ascii="宋体" w:hAnsi="宋体" w:eastAsia="宋体" w:cs="宋体"/>
                <w:sz w:val="24"/>
                <w:szCs w:val="24"/>
                <w:highlight w:val="none"/>
                <w:lang w:val="en-US" w:eastAsia="zh-CN"/>
              </w:rPr>
            </w:pPr>
          </w:p>
        </w:tc>
        <w:tc>
          <w:tcPr>
            <w:tcW w:w="1816" w:type="dxa"/>
            <w:noWrap w:val="0"/>
            <w:vAlign w:val="center"/>
          </w:tcPr>
          <w:p w14:paraId="21F83FE6">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lang w:val="en-US" w:eastAsia="zh-CN"/>
              </w:rPr>
              <w:t>23076443.53</w:t>
            </w:r>
          </w:p>
        </w:tc>
        <w:tc>
          <w:tcPr>
            <w:tcW w:w="2690" w:type="dxa"/>
            <w:noWrap w:val="0"/>
            <w:vAlign w:val="center"/>
          </w:tcPr>
          <w:p w14:paraId="0410F83F">
            <w:pPr>
              <w:widowControl/>
              <w:jc w:val="center"/>
              <w:textAlignment w:val="center"/>
              <w:rPr>
                <w:rFonts w:hint="eastAsia" w:ascii="宋体" w:hAnsi="宋体" w:cs="宋体"/>
                <w:sz w:val="24"/>
                <w:szCs w:val="24"/>
                <w:highlight w:val="none"/>
              </w:rPr>
            </w:pPr>
            <w:r>
              <w:rPr>
                <w:rFonts w:hint="eastAsia" w:ascii="宋体" w:hAnsi="宋体" w:cs="宋体"/>
                <w:sz w:val="24"/>
                <w:szCs w:val="24"/>
                <w:highlight w:val="none"/>
                <w:lang w:val="en-US" w:eastAsia="zh-CN"/>
              </w:rPr>
              <w:t>256404928.13</w:t>
            </w:r>
          </w:p>
        </w:tc>
      </w:tr>
    </w:tbl>
    <w:p w14:paraId="2EB5C5F2">
      <w:pPr>
        <w:spacing w:line="360" w:lineRule="auto"/>
        <w:rPr>
          <w:rFonts w:hint="eastAsia" w:ascii="宋体" w:hAnsi="宋体" w:cs="宋体"/>
          <w:sz w:val="22"/>
          <w:highlight w:val="none"/>
        </w:rPr>
      </w:pPr>
      <w:r>
        <w:rPr>
          <w:rFonts w:hint="eastAsia" w:ascii="宋体" w:hAnsi="宋体" w:cs="宋体"/>
          <w:sz w:val="22"/>
          <w:highlight w:val="none"/>
        </w:rPr>
        <w:br w:type="textWrapping"/>
      </w:r>
      <w:r>
        <w:rPr>
          <w:rFonts w:hint="eastAsia" w:ascii="宋体" w:hAnsi="宋体" w:cs="宋体"/>
          <w:sz w:val="22"/>
          <w:highlight w:val="none"/>
        </w:rPr>
        <w:t>（注：结算时税率根据国家相关税率的调整而调整,税款应缴纳到项目所在区税务局。）</w:t>
      </w:r>
    </w:p>
    <w:p w14:paraId="0C0FC68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6.合同总价（暂定）：279481371.66元，其中：</w:t>
      </w:r>
    </w:p>
    <w:p w14:paraId="48DEA415">
      <w:pPr>
        <w:spacing w:line="360" w:lineRule="auto"/>
        <w:ind w:firstLine="440" w:firstLineChars="200"/>
        <w:rPr>
          <w:rFonts w:hint="eastAsia" w:ascii="宋体" w:hAnsi="宋体" w:cs="宋体"/>
          <w:sz w:val="22"/>
          <w:highlight w:val="none"/>
        </w:rPr>
      </w:pPr>
      <w:r>
        <w:rPr>
          <w:rFonts w:hint="eastAsia" w:ascii="宋体" w:hAnsi="宋体" w:cs="宋体"/>
          <w:sz w:val="22"/>
          <w:highlight w:val="none"/>
          <w:lang w:val="en-US" w:eastAsia="zh-CN"/>
        </w:rPr>
        <w:t>6</w:t>
      </w:r>
      <w:r>
        <w:rPr>
          <w:rFonts w:hint="eastAsia" w:ascii="宋体" w:hAnsi="宋体" w:cs="宋体"/>
          <w:sz w:val="22"/>
          <w:highlight w:val="none"/>
        </w:rPr>
        <w:t>.1设计费（暂定）：5198862.17元</w:t>
      </w:r>
    </w:p>
    <w:p w14:paraId="319586E5">
      <w:pPr>
        <w:spacing w:line="360" w:lineRule="auto"/>
        <w:ind w:firstLine="440" w:firstLineChars="200"/>
        <w:rPr>
          <w:rFonts w:ascii="宋体" w:hAnsi="宋体" w:cs="宋体"/>
          <w:sz w:val="22"/>
          <w:highlight w:val="none"/>
        </w:rPr>
      </w:pPr>
      <w:r>
        <w:rPr>
          <w:rFonts w:hint="eastAsia" w:ascii="宋体" w:hAnsi="宋体" w:cs="宋体"/>
          <w:sz w:val="22"/>
          <w:highlight w:val="none"/>
          <w:lang w:val="en-US" w:eastAsia="zh-CN"/>
        </w:rPr>
        <w:t>6</w:t>
      </w:r>
      <w:r>
        <w:rPr>
          <w:rFonts w:hint="eastAsia" w:ascii="宋体" w:hAnsi="宋体" w:cs="宋体"/>
          <w:sz w:val="22"/>
          <w:highlight w:val="none"/>
        </w:rPr>
        <w:t>.2建筑安装工程费（暂定）：256749811.49元</w:t>
      </w:r>
    </w:p>
    <w:p w14:paraId="1666B26A">
      <w:pPr>
        <w:spacing w:line="360" w:lineRule="auto"/>
        <w:ind w:firstLine="440" w:firstLineChars="200"/>
        <w:rPr>
          <w:rFonts w:hint="eastAsia" w:ascii="宋体" w:hAnsi="宋体" w:cs="宋体"/>
          <w:sz w:val="22"/>
          <w:highlight w:val="none"/>
        </w:rPr>
      </w:pPr>
      <w:r>
        <w:rPr>
          <w:rFonts w:hint="eastAsia" w:ascii="宋体" w:hAnsi="宋体" w:cs="宋体"/>
          <w:sz w:val="22"/>
          <w:highlight w:val="none"/>
          <w:lang w:val="en-US" w:eastAsia="zh-CN"/>
        </w:rPr>
        <w:t>6</w:t>
      </w:r>
      <w:r>
        <w:rPr>
          <w:rFonts w:hint="eastAsia" w:ascii="宋体" w:hAnsi="宋体" w:cs="宋体"/>
          <w:sz w:val="22"/>
          <w:highlight w:val="none"/>
        </w:rPr>
        <w:t>.3预备费：16210098.00元</w:t>
      </w:r>
    </w:p>
    <w:p w14:paraId="7E8CB27E">
      <w:pPr>
        <w:spacing w:line="360" w:lineRule="auto"/>
        <w:ind w:firstLine="440" w:firstLineChars="200"/>
        <w:rPr>
          <w:rFonts w:hint="eastAsia" w:ascii="宋体" w:hAnsi="宋体" w:eastAsia="宋体" w:cs="宋体"/>
          <w:sz w:val="22"/>
          <w:highlight w:val="none"/>
          <w:lang w:val="en-US" w:eastAsia="zh-CN"/>
        </w:rPr>
      </w:pPr>
      <w:r>
        <w:rPr>
          <w:rFonts w:hint="eastAsia" w:ascii="宋体" w:hAnsi="宋体" w:cs="宋体"/>
          <w:sz w:val="22"/>
          <w:highlight w:val="none"/>
          <w:lang w:val="en-US" w:eastAsia="zh-CN"/>
        </w:rPr>
        <w:t>6.4</w:t>
      </w:r>
      <w:r>
        <w:rPr>
          <w:rFonts w:hint="eastAsia" w:ascii="宋体" w:hAnsi="宋体" w:eastAsia="宋体" w:cs="宋体"/>
          <w:sz w:val="22"/>
          <w:highlight w:val="none"/>
        </w:rPr>
        <w:t>场地准备及临时设施费</w:t>
      </w:r>
      <w:r>
        <w:rPr>
          <w:rFonts w:hint="eastAsia" w:ascii="宋体" w:hAnsi="宋体" w:eastAsia="宋体" w:cs="宋体"/>
          <w:sz w:val="22"/>
          <w:highlight w:val="none"/>
          <w:lang w:eastAsia="zh-CN"/>
        </w:rPr>
        <w:t>：</w:t>
      </w:r>
      <w:r>
        <w:rPr>
          <w:rFonts w:hint="eastAsia" w:ascii="宋体" w:hAnsi="宋体" w:cs="宋体"/>
          <w:sz w:val="22"/>
          <w:highlight w:val="none"/>
        </w:rPr>
        <w:t>1322600.00元</w:t>
      </w:r>
    </w:p>
    <w:p w14:paraId="07AB7274">
      <w:pPr>
        <w:spacing w:line="360" w:lineRule="auto"/>
        <w:ind w:firstLine="440" w:firstLineChars="200"/>
        <w:rPr>
          <w:rFonts w:hint="eastAsia" w:ascii="宋体" w:hAnsi="宋体" w:cs="宋体"/>
          <w:sz w:val="22"/>
          <w:highlight w:val="none"/>
        </w:rPr>
      </w:pPr>
      <w:r>
        <w:rPr>
          <w:rFonts w:hint="eastAsia" w:ascii="宋体" w:hAnsi="宋体" w:cs="宋体"/>
          <w:sz w:val="22"/>
          <w:highlight w:val="none"/>
          <w:lang w:val="en-US" w:eastAsia="zh-CN"/>
        </w:rPr>
        <w:t>6</w:t>
      </w:r>
      <w:r>
        <w:rPr>
          <w:rFonts w:hint="eastAsia" w:ascii="宋体" w:hAnsi="宋体" w:cs="宋体"/>
          <w:sz w:val="22"/>
          <w:highlight w:val="none"/>
        </w:rPr>
        <w:t>.</w:t>
      </w:r>
      <w:r>
        <w:rPr>
          <w:rFonts w:hint="eastAsia" w:ascii="宋体" w:hAnsi="宋体" w:cs="宋体"/>
          <w:sz w:val="22"/>
          <w:highlight w:val="none"/>
          <w:lang w:val="en-US" w:eastAsia="zh-CN"/>
        </w:rPr>
        <w:t>5</w:t>
      </w:r>
      <w:r>
        <w:rPr>
          <w:rFonts w:hint="eastAsia" w:ascii="宋体" w:hAnsi="宋体" w:cs="宋体"/>
          <w:sz w:val="22"/>
          <w:highlight w:val="none"/>
        </w:rPr>
        <w:t>设计费费率为：</w:t>
      </w:r>
      <w:r>
        <w:rPr>
          <w:rFonts w:hint="eastAsia" w:ascii="宋体" w:hAnsi="宋体" w:cs="宋体"/>
          <w:sz w:val="22"/>
          <w:highlight w:val="none"/>
          <w:lang w:val="en-US" w:eastAsia="zh-CN"/>
        </w:rPr>
        <w:t>1.965</w:t>
      </w:r>
      <w:r>
        <w:rPr>
          <w:rFonts w:hint="eastAsia" w:ascii="宋体" w:hAnsi="宋体" w:cs="宋体"/>
          <w:sz w:val="22"/>
          <w:highlight w:val="none"/>
        </w:rPr>
        <w:t>%；建筑安装工程费费率为：</w:t>
      </w:r>
      <w:r>
        <w:rPr>
          <w:rFonts w:hint="eastAsia" w:ascii="宋体" w:hAnsi="宋体" w:cs="宋体"/>
          <w:sz w:val="22"/>
          <w:highlight w:val="none"/>
          <w:lang w:val="en-US" w:eastAsia="zh-CN"/>
        </w:rPr>
        <w:t>97.061%</w:t>
      </w:r>
      <w:r>
        <w:rPr>
          <w:rFonts w:hint="eastAsia" w:ascii="宋体" w:hAnsi="宋体" w:cs="宋体"/>
          <w:sz w:val="22"/>
          <w:highlight w:val="none"/>
        </w:rPr>
        <w:t>，</w:t>
      </w:r>
    </w:p>
    <w:p w14:paraId="5D3711E5">
      <w:pPr>
        <w:spacing w:line="360" w:lineRule="auto"/>
        <w:ind w:firstLine="440" w:firstLineChars="200"/>
        <w:rPr>
          <w:rFonts w:ascii="宋体" w:hAnsi="宋体" w:cs="宋体"/>
          <w:sz w:val="22"/>
          <w:highlight w:val="none"/>
        </w:rPr>
      </w:pPr>
      <w:r>
        <w:rPr>
          <w:rFonts w:hint="eastAsia" w:ascii="宋体" w:hAnsi="宋体" w:cs="宋体"/>
          <w:sz w:val="22"/>
          <w:highlight w:val="none"/>
        </w:rPr>
        <w:t>设计费费率=设计费中标价/建筑安装工程费最高限价</w:t>
      </w:r>
      <w:r>
        <w:rPr>
          <w:rFonts w:hint="eastAsia" w:ascii="宋体" w:hAnsi="宋体" w:cs="宋体"/>
          <w:sz w:val="22"/>
          <w:highlight w:val="none"/>
          <w:u w:val="single"/>
        </w:rPr>
        <w:t xml:space="preserve"> 26452</w:t>
      </w:r>
      <w:r>
        <w:rPr>
          <w:rFonts w:hint="eastAsia" w:ascii="宋体" w:hAnsi="宋体" w:cs="宋体"/>
          <w:sz w:val="22"/>
          <w:highlight w:val="none"/>
          <w:u w:val="single"/>
          <w:lang w:val="en-US" w:eastAsia="zh-CN"/>
        </w:rPr>
        <w:t>.</w:t>
      </w:r>
      <w:r>
        <w:rPr>
          <w:rFonts w:hint="eastAsia" w:ascii="宋体" w:hAnsi="宋体" w:cs="宋体"/>
          <w:sz w:val="22"/>
          <w:highlight w:val="none"/>
          <w:u w:val="single"/>
        </w:rPr>
        <w:t xml:space="preserve">50 </w:t>
      </w:r>
      <w:r>
        <w:rPr>
          <w:rFonts w:hint="eastAsia" w:ascii="宋体" w:hAnsi="宋体" w:cs="宋体"/>
          <w:sz w:val="22"/>
          <w:highlight w:val="none"/>
        </w:rPr>
        <w:t>万元×100%</w:t>
      </w:r>
    </w:p>
    <w:p w14:paraId="0EDFDB6D">
      <w:pPr>
        <w:spacing w:line="360" w:lineRule="auto"/>
        <w:ind w:firstLine="440" w:firstLineChars="200"/>
        <w:rPr>
          <w:rFonts w:ascii="宋体" w:hAnsi="宋体" w:cs="宋体"/>
          <w:sz w:val="22"/>
          <w:highlight w:val="none"/>
        </w:rPr>
      </w:pPr>
      <w:r>
        <w:rPr>
          <w:rFonts w:hint="eastAsia" w:ascii="宋体" w:hAnsi="宋体" w:cs="宋体"/>
          <w:sz w:val="22"/>
          <w:highlight w:val="none"/>
        </w:rPr>
        <w:t>建筑安装工程费费率=建筑安装工程费的中标价/建筑安装工程费的限价（ 26452.50 万元）×100%。</w:t>
      </w:r>
    </w:p>
    <w:p w14:paraId="1335FFE4">
      <w:pPr>
        <w:spacing w:line="360" w:lineRule="auto"/>
        <w:ind w:left="440"/>
        <w:rPr>
          <w:rFonts w:ascii="宋体" w:hAnsi="宋体" w:cs="宋体"/>
          <w:sz w:val="22"/>
          <w:highlight w:val="none"/>
        </w:rPr>
      </w:pPr>
      <w:r>
        <w:rPr>
          <w:rFonts w:hint="eastAsia" w:ascii="宋体" w:hAnsi="宋体" w:cs="宋体"/>
          <w:sz w:val="22"/>
          <w:highlight w:val="none"/>
        </w:rPr>
        <w:t>详见专用条款第17.1。</w:t>
      </w:r>
    </w:p>
    <w:p w14:paraId="244E45C5">
      <w:pPr>
        <w:tabs>
          <w:tab w:val="left" w:pos="312"/>
        </w:tabs>
        <w:spacing w:line="360" w:lineRule="auto"/>
        <w:ind w:firstLine="440" w:firstLineChars="200"/>
        <w:rPr>
          <w:rFonts w:hint="eastAsia" w:ascii="宋体" w:hAnsi="宋体" w:eastAsia="宋体" w:cs="宋体"/>
          <w:sz w:val="22"/>
          <w:highlight w:val="none"/>
          <w:lang w:val="en-US" w:eastAsia="zh-CN"/>
        </w:rPr>
      </w:pPr>
      <w:r>
        <w:rPr>
          <w:rFonts w:hint="eastAsia" w:ascii="宋体" w:hAnsi="宋体" w:cs="宋体"/>
          <w:sz w:val="22"/>
          <w:highlight w:val="none"/>
          <w:lang w:val="en-US" w:eastAsia="zh-CN"/>
        </w:rPr>
        <w:t>7</w:t>
      </w:r>
      <w:r>
        <w:rPr>
          <w:rFonts w:hint="eastAsia" w:ascii="宋体" w:hAnsi="宋体" w:cs="宋体"/>
          <w:sz w:val="22"/>
          <w:highlight w:val="none"/>
        </w:rPr>
        <w:t>.承包人项目总负责人：</w:t>
      </w:r>
      <w:r>
        <w:rPr>
          <w:rFonts w:hint="eastAsia" w:ascii="宋体" w:hAnsi="宋体" w:cs="宋体"/>
          <w:sz w:val="22"/>
          <w:highlight w:val="none"/>
          <w:lang w:val="en-US" w:eastAsia="zh-CN"/>
        </w:rPr>
        <w:t>武国栋</w:t>
      </w:r>
    </w:p>
    <w:p w14:paraId="398B5514">
      <w:pPr>
        <w:tabs>
          <w:tab w:val="left" w:pos="312"/>
        </w:tabs>
        <w:spacing w:line="360" w:lineRule="auto"/>
        <w:ind w:firstLine="440" w:firstLineChars="200"/>
        <w:rPr>
          <w:rFonts w:hint="default" w:ascii="宋体" w:hAnsi="宋体" w:cs="宋体"/>
          <w:sz w:val="22"/>
          <w:highlight w:val="none"/>
          <w:lang w:val="en-US"/>
        </w:rPr>
      </w:pPr>
      <w:r>
        <w:rPr>
          <w:rFonts w:hint="eastAsia" w:ascii="宋体" w:hAnsi="宋体" w:cs="宋体"/>
          <w:sz w:val="22"/>
          <w:highlight w:val="none"/>
          <w:lang w:val="en-US" w:eastAsia="zh-CN"/>
        </w:rPr>
        <w:t>8</w:t>
      </w:r>
      <w:r>
        <w:rPr>
          <w:rFonts w:hint="eastAsia" w:ascii="宋体" w:hAnsi="宋体" w:cs="宋体"/>
          <w:sz w:val="22"/>
          <w:highlight w:val="none"/>
        </w:rPr>
        <w:t>.</w:t>
      </w:r>
      <w:r>
        <w:rPr>
          <w:rFonts w:hint="default" w:ascii="Times New Roman" w:hAnsi="Times New Roman" w:cs="Times New Roman"/>
          <w:color w:val="auto"/>
          <w:sz w:val="22"/>
          <w:highlight w:val="none"/>
          <w:lang w:val="en-US" w:eastAsia="zh-CN"/>
        </w:rPr>
        <w:t>施工项目负责人</w:t>
      </w:r>
      <w:r>
        <w:rPr>
          <w:rFonts w:hint="eastAsia" w:cs="Times New Roman"/>
          <w:color w:val="auto"/>
          <w:sz w:val="22"/>
          <w:highlight w:val="none"/>
          <w:lang w:val="en-US" w:eastAsia="zh-CN"/>
        </w:rPr>
        <w:t xml:space="preserve"> 苗旭 ；</w:t>
      </w:r>
      <w:r>
        <w:rPr>
          <w:rFonts w:hint="default" w:ascii="Times New Roman" w:hAnsi="Times New Roman" w:cs="Times New Roman"/>
          <w:color w:val="auto"/>
          <w:sz w:val="22"/>
          <w:highlight w:val="none"/>
          <w:lang w:val="en-US" w:eastAsia="zh-CN"/>
        </w:rPr>
        <w:t>设计项目负责人：</w:t>
      </w:r>
      <w:r>
        <w:rPr>
          <w:rFonts w:hint="eastAsia" w:cs="Times New Roman"/>
          <w:color w:val="auto"/>
          <w:sz w:val="22"/>
          <w:highlight w:val="none"/>
          <w:lang w:val="en-US" w:eastAsia="zh-CN"/>
        </w:rPr>
        <w:t xml:space="preserve"> 王亚南 ；</w:t>
      </w:r>
      <w:r>
        <w:rPr>
          <w:rFonts w:hint="default" w:ascii="Times New Roman" w:hAnsi="Times New Roman" w:cs="Times New Roman"/>
          <w:color w:val="auto"/>
          <w:sz w:val="22"/>
          <w:highlight w:val="none"/>
          <w:lang w:val="en-US" w:eastAsia="zh-CN"/>
        </w:rPr>
        <w:t>技术负责人：</w:t>
      </w:r>
      <w:r>
        <w:rPr>
          <w:rFonts w:hint="eastAsia" w:ascii="Times New Roman" w:hAnsi="Times New Roman" w:cs="Times New Roman"/>
          <w:color w:val="auto"/>
          <w:sz w:val="22"/>
          <w:highlight w:val="none"/>
          <w:lang w:val="en-US" w:eastAsia="zh-CN"/>
        </w:rPr>
        <w:t xml:space="preserve"> 李希名 </w:t>
      </w:r>
    </w:p>
    <w:p w14:paraId="64E600B2">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lang w:val="en-US" w:eastAsia="zh-CN"/>
        </w:rPr>
        <w:t>9</w:t>
      </w:r>
      <w:r>
        <w:rPr>
          <w:rFonts w:hint="eastAsia" w:ascii="宋体" w:hAnsi="宋体" w:cs="宋体"/>
          <w:sz w:val="22"/>
          <w:highlight w:val="none"/>
        </w:rPr>
        <w:t>.工程质量符合的标准和要求：</w:t>
      </w:r>
      <w:r>
        <w:rPr>
          <w:rFonts w:hint="eastAsia" w:ascii="宋体" w:hAnsi="宋体" w:cs="宋体"/>
          <w:sz w:val="22"/>
          <w:highlight w:val="none"/>
          <w:u w:val="single"/>
        </w:rPr>
        <w:t>设计质量标准：合格；施工质量标准：符合国家相关质量验收标准，合格工程。</w:t>
      </w:r>
    </w:p>
    <w:p w14:paraId="698B3388">
      <w:pPr>
        <w:spacing w:line="360" w:lineRule="auto"/>
        <w:ind w:firstLine="440" w:firstLineChars="200"/>
        <w:rPr>
          <w:rFonts w:hint="eastAsia" w:ascii="宋体" w:hAnsi="宋体" w:cs="宋体"/>
          <w:sz w:val="22"/>
          <w:highlight w:val="none"/>
        </w:rPr>
      </w:pPr>
      <w:r>
        <w:rPr>
          <w:rFonts w:hint="eastAsia" w:ascii="宋体" w:hAnsi="宋体" w:cs="宋体"/>
          <w:sz w:val="22"/>
          <w:highlight w:val="none"/>
          <w:lang w:val="en-US" w:eastAsia="zh-CN"/>
        </w:rPr>
        <w:t>10</w:t>
      </w:r>
      <w:r>
        <w:rPr>
          <w:rFonts w:hint="eastAsia" w:ascii="宋体" w:hAnsi="宋体" w:cs="宋体"/>
          <w:sz w:val="22"/>
          <w:highlight w:val="none"/>
        </w:rPr>
        <w:t>.承包人承诺按合同约定承担工程的设计、实施、竣工及缺陷修复。</w:t>
      </w:r>
    </w:p>
    <w:p w14:paraId="1A333604">
      <w:pPr>
        <w:spacing w:line="360" w:lineRule="auto"/>
        <w:ind w:firstLine="440" w:firstLineChars="200"/>
        <w:rPr>
          <w:rFonts w:hint="eastAsia" w:ascii="宋体" w:hAnsi="宋体" w:cs="宋体"/>
          <w:sz w:val="22"/>
          <w:highlight w:val="none"/>
        </w:rPr>
      </w:pPr>
      <w:r>
        <w:rPr>
          <w:rFonts w:hint="eastAsia" w:ascii="宋体" w:hAnsi="宋体" w:cs="宋体"/>
          <w:sz w:val="22"/>
          <w:highlight w:val="none"/>
          <w:lang w:val="en-US" w:eastAsia="zh-CN"/>
        </w:rPr>
        <w:t>11</w:t>
      </w:r>
      <w:r>
        <w:rPr>
          <w:rFonts w:hint="eastAsia" w:ascii="宋体" w:hAnsi="宋体" w:cs="宋体"/>
          <w:sz w:val="22"/>
          <w:highlight w:val="none"/>
        </w:rPr>
        <w:t>.发包人承诺按合同约定的条件、时间和方式向承包人支付合同价款。</w:t>
      </w:r>
    </w:p>
    <w:p w14:paraId="1D7A0240">
      <w:pPr>
        <w:spacing w:line="360" w:lineRule="auto"/>
        <w:ind w:left="480" w:leftChars="200"/>
        <w:rPr>
          <w:rFonts w:hint="eastAsia" w:ascii="宋体" w:hAnsi="宋体" w:cs="宋体"/>
          <w:sz w:val="22"/>
          <w:highlight w:val="none"/>
        </w:rPr>
      </w:pPr>
      <w:r>
        <w:rPr>
          <w:rFonts w:hint="eastAsia" w:ascii="宋体" w:hAnsi="宋体" w:cs="宋体"/>
          <w:sz w:val="22"/>
          <w:highlight w:val="none"/>
          <w:lang w:val="en-US" w:eastAsia="zh-CN"/>
        </w:rPr>
        <w:t>12</w:t>
      </w:r>
      <w:r>
        <w:rPr>
          <w:rFonts w:hint="eastAsia" w:ascii="宋体" w:hAnsi="宋体" w:cs="宋体"/>
          <w:sz w:val="22"/>
          <w:highlight w:val="none"/>
        </w:rPr>
        <w:t>.①发包人分批次交付建设用地，单次移交用地具备建设条件用地后</w:t>
      </w:r>
      <w:r>
        <w:rPr>
          <w:rFonts w:hint="eastAsia" w:ascii="宋体" w:hAnsi="宋体" w:cs="宋体"/>
          <w:sz w:val="22"/>
          <w:highlight w:val="none"/>
          <w:u w:val="single"/>
        </w:rPr>
        <w:t xml:space="preserve"> </w:t>
      </w:r>
      <w:r>
        <w:rPr>
          <w:rFonts w:hint="eastAsia" w:ascii="宋体" w:hAnsi="宋体" w:cs="宋体"/>
          <w:sz w:val="22"/>
          <w:highlight w:val="none"/>
          <w:u w:val="single"/>
          <w:lang w:val="en-US" w:eastAsia="zh-CN"/>
        </w:rPr>
        <w:t>390 日历</w:t>
      </w:r>
      <w:r>
        <w:rPr>
          <w:rFonts w:hint="eastAsia" w:ascii="宋体" w:hAnsi="宋体" w:cs="宋体"/>
          <w:sz w:val="22"/>
          <w:highlight w:val="none"/>
        </w:rPr>
        <w:t>天完成。</w:t>
      </w:r>
    </w:p>
    <w:p w14:paraId="189037DA">
      <w:pPr>
        <w:spacing w:line="360" w:lineRule="auto"/>
        <w:ind w:firstLine="880" w:firstLineChars="400"/>
        <w:rPr>
          <w:rFonts w:hint="eastAsia" w:ascii="宋体" w:hAnsi="宋体" w:cs="宋体"/>
          <w:sz w:val="22"/>
          <w:highlight w:val="none"/>
        </w:rPr>
      </w:pPr>
      <w:r>
        <w:rPr>
          <w:rFonts w:hint="eastAsia" w:ascii="宋体" w:hAnsi="宋体" w:cs="宋体"/>
          <w:sz w:val="22"/>
          <w:highlight w:val="none"/>
        </w:rPr>
        <w:t>②若</w:t>
      </w:r>
      <w:r>
        <w:rPr>
          <w:rFonts w:hint="eastAsia" w:ascii="宋体" w:hAnsi="宋体" w:cs="宋体"/>
          <w:sz w:val="22"/>
          <w:highlight w:val="none"/>
          <w:lang w:val="en-US" w:eastAsia="zh-CN"/>
        </w:rPr>
        <w:t>西安高新区</w:t>
      </w:r>
      <w:r>
        <w:rPr>
          <w:rFonts w:hint="eastAsia" w:ascii="宋体" w:hAnsi="宋体" w:cs="宋体"/>
          <w:sz w:val="22"/>
          <w:highlight w:val="none"/>
        </w:rPr>
        <w:t>管委会管理部门提出的工期要求，遵照执行。</w:t>
      </w:r>
    </w:p>
    <w:p w14:paraId="5EA26864">
      <w:pPr>
        <w:spacing w:line="360" w:lineRule="auto"/>
        <w:ind w:firstLine="440" w:firstLineChars="200"/>
        <w:rPr>
          <w:rFonts w:hint="eastAsia"/>
          <w:sz w:val="28"/>
          <w:szCs w:val="21"/>
          <w:highlight w:val="none"/>
        </w:rPr>
      </w:pPr>
      <w:r>
        <w:rPr>
          <w:rFonts w:hint="eastAsia" w:ascii="宋体" w:hAnsi="宋体" w:cs="宋体"/>
          <w:sz w:val="22"/>
          <w:highlight w:val="none"/>
          <w:lang w:val="en-US" w:eastAsia="zh-CN"/>
        </w:rPr>
        <w:t>13</w:t>
      </w:r>
      <w:r>
        <w:rPr>
          <w:rFonts w:hint="eastAsia" w:ascii="宋体" w:hAnsi="宋体" w:cs="宋体"/>
          <w:sz w:val="22"/>
          <w:highlight w:val="none"/>
        </w:rPr>
        <w:t>.</w:t>
      </w:r>
      <w:r>
        <w:rPr>
          <w:rFonts w:hint="default" w:ascii="Times New Roman" w:hAnsi="Times New Roman" w:cs="Times New Roman"/>
          <w:sz w:val="22"/>
          <w:highlight w:val="none"/>
        </w:rPr>
        <w:t>本项目</w:t>
      </w:r>
      <w:r>
        <w:rPr>
          <w:rFonts w:hint="eastAsia" w:cs="Times New Roman"/>
          <w:sz w:val="22"/>
          <w:highlight w:val="none"/>
          <w:lang w:val="en-US" w:eastAsia="zh-CN"/>
        </w:rPr>
        <w:t>为</w:t>
      </w:r>
      <w:r>
        <w:rPr>
          <w:rFonts w:hint="default" w:ascii="Times New Roman" w:hAnsi="Times New Roman" w:cs="Times New Roman"/>
          <w:sz w:val="22"/>
          <w:highlight w:val="none"/>
        </w:rPr>
        <w:t>代建</w:t>
      </w:r>
      <w:r>
        <w:rPr>
          <w:rFonts w:hint="eastAsia" w:cs="Times New Roman"/>
          <w:sz w:val="22"/>
          <w:highlight w:val="none"/>
          <w:lang w:val="en-US" w:eastAsia="zh-CN"/>
        </w:rPr>
        <w:t>项</w:t>
      </w:r>
      <w:r>
        <w:rPr>
          <w:rFonts w:hint="eastAsia" w:cs="Times New Roman"/>
          <w:sz w:val="22"/>
          <w:highlight w:val="none"/>
          <w:u w:val="single"/>
          <w:lang w:val="en-US" w:eastAsia="zh-CN"/>
        </w:rPr>
        <w:t>目</w:t>
      </w:r>
      <w:r>
        <w:rPr>
          <w:rFonts w:hint="eastAsia" w:cs="Times New Roman"/>
          <w:sz w:val="22"/>
          <w:highlight w:val="none"/>
          <w:u w:val="none"/>
          <w:lang w:val="en-US" w:eastAsia="zh-CN"/>
        </w:rPr>
        <w:t>，待代建人招标确定后，所涉及代建人及代建人拟派现场管理代表等信息及职责分工发、承包人均应认可。</w:t>
      </w:r>
      <w:r>
        <w:rPr>
          <w:rFonts w:hint="eastAsia" w:ascii="宋体" w:hAnsi="宋体" w:cs="宋体"/>
          <w:sz w:val="22"/>
          <w:highlight w:val="none"/>
        </w:rPr>
        <w:t>发包人授权代建人在本合同执行过程中对工程进行全过程管理，代建人按照本项目代建合同约定承担相应责任，承包人对代建合同约定须全部接受且无异议。承包人就各项具体工作应与代建人沟通联络，并服从代建人的管</w:t>
      </w:r>
      <w:bookmarkStart w:id="651" w:name="_GoBack"/>
      <w:bookmarkEnd w:id="651"/>
      <w:r>
        <w:rPr>
          <w:rFonts w:hint="eastAsia" w:ascii="宋体" w:hAnsi="宋体" w:cs="宋体"/>
          <w:sz w:val="22"/>
          <w:highlight w:val="none"/>
        </w:rPr>
        <w:t>理、遵守代建人的各项管理制度及工作要求。</w:t>
      </w:r>
    </w:p>
    <w:p w14:paraId="16A14E83">
      <w:pPr>
        <w:spacing w:line="360" w:lineRule="auto"/>
        <w:ind w:firstLine="440" w:firstLineChars="200"/>
        <w:rPr>
          <w:rFonts w:hint="default" w:ascii="Times New Roman" w:hAnsi="Times New Roman" w:cs="Times New Roman"/>
          <w:sz w:val="22"/>
          <w:highlight w:val="none"/>
        </w:rPr>
      </w:pPr>
      <w:r>
        <w:rPr>
          <w:rFonts w:hint="eastAsia" w:ascii="宋体" w:hAnsi="宋体" w:eastAsia="宋体" w:cs="宋体"/>
          <w:sz w:val="22"/>
          <w:highlight w:val="none"/>
          <w:lang w:val="en-US" w:eastAsia="zh-CN"/>
        </w:rPr>
        <w:t>14</w:t>
      </w:r>
      <w:r>
        <w:rPr>
          <w:rFonts w:hint="eastAsia" w:ascii="宋体" w:hAnsi="宋体" w:eastAsia="宋体" w:cs="宋体"/>
          <w:sz w:val="22"/>
          <w:highlight w:val="none"/>
        </w:rPr>
        <w:t>.</w:t>
      </w:r>
      <w:r>
        <w:rPr>
          <w:rFonts w:hint="default" w:ascii="Times New Roman" w:hAnsi="Times New Roman" w:cs="Times New Roman"/>
          <w:sz w:val="22"/>
          <w:highlight w:val="none"/>
        </w:rPr>
        <w:t xml:space="preserve"> 本协议书一式</w:t>
      </w:r>
      <w:r>
        <w:rPr>
          <w:rFonts w:hint="default" w:ascii="Times New Roman" w:hAnsi="Times New Roman" w:cs="Times New Roman"/>
          <w:sz w:val="22"/>
          <w:highlight w:val="none"/>
          <w:u w:val="single"/>
        </w:rPr>
        <w:t xml:space="preserve"> </w:t>
      </w:r>
      <w:r>
        <w:rPr>
          <w:rFonts w:hint="default" w:ascii="Times New Roman" w:hAnsi="Times New Roman" w:cs="Times New Roman"/>
          <w:sz w:val="22"/>
          <w:highlight w:val="none"/>
          <w:u w:val="single"/>
          <w:lang w:val="en-US" w:eastAsia="zh-CN"/>
        </w:rPr>
        <w:t>壹拾</w:t>
      </w:r>
      <w:r>
        <w:rPr>
          <w:rFonts w:hint="default" w:ascii="Times New Roman" w:hAnsi="Times New Roman" w:cs="Times New Roman"/>
          <w:sz w:val="22"/>
          <w:highlight w:val="none"/>
        </w:rPr>
        <w:t>份，正本合同</w:t>
      </w:r>
      <w:r>
        <w:rPr>
          <w:rFonts w:hint="eastAsia" w:cs="Times New Roman"/>
          <w:sz w:val="22"/>
          <w:highlight w:val="none"/>
          <w:lang w:val="en-US" w:eastAsia="zh-CN"/>
        </w:rPr>
        <w:t>双</w:t>
      </w:r>
      <w:r>
        <w:rPr>
          <w:rFonts w:hint="default" w:ascii="Times New Roman" w:hAnsi="Times New Roman" w:cs="Times New Roman"/>
          <w:sz w:val="22"/>
          <w:highlight w:val="none"/>
        </w:rPr>
        <w:t>方各执</w:t>
      </w:r>
      <w:r>
        <w:rPr>
          <w:rFonts w:hint="default" w:ascii="Times New Roman" w:hAnsi="Times New Roman" w:cs="Times New Roman"/>
          <w:sz w:val="22"/>
          <w:highlight w:val="none"/>
          <w:u w:val="single"/>
        </w:rPr>
        <w:t xml:space="preserve"> 壹 </w:t>
      </w:r>
      <w:r>
        <w:rPr>
          <w:rFonts w:hint="default" w:ascii="Times New Roman" w:hAnsi="Times New Roman" w:cs="Times New Roman"/>
          <w:sz w:val="22"/>
          <w:highlight w:val="none"/>
        </w:rPr>
        <w:t>份，副本</w:t>
      </w:r>
      <w:r>
        <w:rPr>
          <w:rFonts w:hint="default" w:ascii="Times New Roman" w:hAnsi="Times New Roman" w:cs="Times New Roman"/>
          <w:sz w:val="22"/>
          <w:highlight w:val="none"/>
          <w:u w:val="single"/>
        </w:rPr>
        <w:t>发包人执</w:t>
      </w:r>
      <w:r>
        <w:rPr>
          <w:rFonts w:hint="default" w:ascii="Times New Roman" w:hAnsi="Times New Roman" w:cs="Times New Roman"/>
          <w:sz w:val="22"/>
          <w:highlight w:val="none"/>
          <w:u w:val="single"/>
          <w:lang w:val="en-US" w:eastAsia="zh-CN"/>
        </w:rPr>
        <w:t>肆</w:t>
      </w:r>
      <w:r>
        <w:rPr>
          <w:rFonts w:hint="default" w:ascii="Times New Roman" w:hAnsi="Times New Roman" w:cs="Times New Roman"/>
          <w:sz w:val="22"/>
          <w:highlight w:val="none"/>
          <w:u w:val="single"/>
        </w:rPr>
        <w:t>份，承包人</w:t>
      </w:r>
      <w:r>
        <w:rPr>
          <w:rFonts w:hint="default" w:ascii="Times New Roman" w:hAnsi="Times New Roman" w:cs="Times New Roman"/>
          <w:sz w:val="22"/>
          <w:highlight w:val="none"/>
          <w:u w:val="single"/>
          <w:lang w:val="en-US" w:eastAsia="zh-CN"/>
        </w:rPr>
        <w:t>肆</w:t>
      </w:r>
      <w:r>
        <w:rPr>
          <w:rFonts w:hint="default" w:ascii="Times New Roman" w:hAnsi="Times New Roman" w:cs="Times New Roman"/>
          <w:sz w:val="22"/>
          <w:highlight w:val="none"/>
          <w:u w:val="single"/>
        </w:rPr>
        <w:t>份</w:t>
      </w:r>
      <w:r>
        <w:rPr>
          <w:rFonts w:hint="default" w:ascii="Times New Roman" w:hAnsi="Times New Roman" w:cs="Times New Roman"/>
          <w:sz w:val="22"/>
          <w:highlight w:val="none"/>
        </w:rPr>
        <w:t>。</w:t>
      </w:r>
    </w:p>
    <w:p w14:paraId="445FF827">
      <w:pPr>
        <w:spacing w:line="360" w:lineRule="auto"/>
        <w:ind w:firstLine="440" w:firstLineChars="200"/>
        <w:rPr>
          <w:rFonts w:hint="eastAsia" w:ascii="宋体" w:hAnsi="宋体" w:cs="宋体"/>
          <w:sz w:val="22"/>
          <w:highlight w:val="none"/>
        </w:rPr>
      </w:pPr>
      <w:r>
        <w:rPr>
          <w:rFonts w:hint="eastAsia" w:ascii="宋体" w:hAnsi="宋体" w:eastAsia="宋体" w:cs="宋体"/>
          <w:sz w:val="22"/>
          <w:highlight w:val="none"/>
          <w:lang w:val="en-US" w:eastAsia="zh-CN"/>
        </w:rPr>
        <w:t>15</w:t>
      </w:r>
      <w:r>
        <w:rPr>
          <w:rFonts w:hint="eastAsia" w:ascii="宋体" w:hAnsi="宋体" w:eastAsia="宋体" w:cs="宋体"/>
          <w:sz w:val="22"/>
          <w:highlight w:val="none"/>
        </w:rPr>
        <w:t xml:space="preserve">. </w:t>
      </w:r>
      <w:r>
        <w:rPr>
          <w:rFonts w:hint="default" w:ascii="Times New Roman" w:hAnsi="Times New Roman" w:cs="Times New Roman"/>
          <w:sz w:val="22"/>
          <w:highlight w:val="none"/>
        </w:rPr>
        <w:t>本合同</w:t>
      </w:r>
      <w:r>
        <w:rPr>
          <w:rFonts w:hint="eastAsia" w:cs="Times New Roman"/>
          <w:sz w:val="22"/>
          <w:highlight w:val="none"/>
          <w:lang w:val="en-US" w:eastAsia="zh-CN"/>
        </w:rPr>
        <w:t>双</w:t>
      </w:r>
      <w:r>
        <w:rPr>
          <w:rFonts w:hint="default" w:ascii="Times New Roman" w:hAnsi="Times New Roman" w:cs="Times New Roman"/>
          <w:sz w:val="22"/>
          <w:highlight w:val="none"/>
        </w:rPr>
        <w:t>方约定，</w:t>
      </w:r>
      <w:r>
        <w:rPr>
          <w:rFonts w:hint="eastAsia" w:cs="Times New Roman"/>
          <w:sz w:val="22"/>
          <w:highlight w:val="none"/>
          <w:lang w:val="en-US" w:eastAsia="zh-CN"/>
        </w:rPr>
        <w:t>双</w:t>
      </w:r>
      <w:r>
        <w:rPr>
          <w:rFonts w:hint="default" w:ascii="Times New Roman" w:hAnsi="Times New Roman" w:cs="Times New Roman"/>
          <w:sz w:val="22"/>
          <w:highlight w:val="none"/>
          <w:u w:val="single"/>
        </w:rPr>
        <w:t>方签字盖章或盖章</w:t>
      </w:r>
      <w:r>
        <w:rPr>
          <w:rFonts w:hint="default" w:ascii="Times New Roman" w:hAnsi="Times New Roman" w:cs="Times New Roman"/>
          <w:sz w:val="22"/>
          <w:highlight w:val="none"/>
        </w:rPr>
        <w:t>后生效。合同未尽事宜，</w:t>
      </w:r>
      <w:r>
        <w:rPr>
          <w:rFonts w:hint="eastAsia" w:cs="Times New Roman"/>
          <w:sz w:val="22"/>
          <w:highlight w:val="none"/>
          <w:lang w:val="en-US" w:eastAsia="zh-CN"/>
        </w:rPr>
        <w:t>双</w:t>
      </w:r>
      <w:r>
        <w:rPr>
          <w:rFonts w:hint="default" w:ascii="Times New Roman" w:hAnsi="Times New Roman" w:cs="Times New Roman"/>
          <w:sz w:val="22"/>
          <w:highlight w:val="none"/>
        </w:rPr>
        <w:t>方另行签订补充协议。补充协议是合同的组成部分</w:t>
      </w:r>
      <w:r>
        <w:rPr>
          <w:rFonts w:hint="eastAsia" w:ascii="宋体" w:hAnsi="宋体" w:cs="宋体"/>
          <w:sz w:val="22"/>
          <w:highlight w:val="none"/>
        </w:rPr>
        <w:t>。</w:t>
      </w:r>
    </w:p>
    <w:p w14:paraId="14A3E6B8">
      <w:pPr>
        <w:spacing w:line="240" w:lineRule="auto"/>
        <w:ind w:firstLine="360" w:firstLineChars="200"/>
        <w:rPr>
          <w:rFonts w:hint="eastAsia" w:ascii="宋体" w:hAnsi="宋体" w:cs="宋体"/>
          <w:sz w:val="18"/>
          <w:szCs w:val="20"/>
          <w:highlight w:val="none"/>
        </w:rPr>
      </w:pPr>
    </w:p>
    <w:tbl>
      <w:tblPr>
        <w:tblStyle w:val="14"/>
        <w:tblW w:w="10118" w:type="dxa"/>
        <w:tblInd w:w="0" w:type="dxa"/>
        <w:tblLayout w:type="fixed"/>
        <w:tblCellMar>
          <w:top w:w="0" w:type="dxa"/>
          <w:left w:w="108" w:type="dxa"/>
          <w:bottom w:w="0" w:type="dxa"/>
          <w:right w:w="108" w:type="dxa"/>
        </w:tblCellMar>
      </w:tblPr>
      <w:tblGrid>
        <w:gridCol w:w="2024"/>
        <w:gridCol w:w="2979"/>
        <w:gridCol w:w="2273"/>
        <w:gridCol w:w="2842"/>
      </w:tblGrid>
      <w:tr w14:paraId="3BAFD77B">
        <w:tblPrEx>
          <w:tblCellMar>
            <w:top w:w="0" w:type="dxa"/>
            <w:left w:w="108" w:type="dxa"/>
            <w:bottom w:w="0" w:type="dxa"/>
            <w:right w:w="108" w:type="dxa"/>
          </w:tblCellMar>
        </w:tblPrEx>
        <w:trPr>
          <w:trHeight w:val="1211" w:hRule="atLeast"/>
        </w:trPr>
        <w:tc>
          <w:tcPr>
            <w:tcW w:w="2024" w:type="dxa"/>
          </w:tcPr>
          <w:p w14:paraId="3A0851AB">
            <w:pPr>
              <w:widowControl/>
              <w:snapToGrid w:val="0"/>
              <w:rPr>
                <w:rFonts w:hint="default" w:ascii="Times New Roman" w:hAnsi="Times New Roman" w:eastAsia="宋体" w:cs="Times New Roman"/>
                <w:color w:val="auto"/>
                <w:kern w:val="0"/>
                <w:sz w:val="22"/>
                <w:szCs w:val="22"/>
                <w:highlight w:val="none"/>
              </w:rPr>
            </w:pPr>
            <w:bookmarkStart w:id="7" w:name="_Toc480909773"/>
            <w:r>
              <w:rPr>
                <w:rFonts w:hint="default" w:ascii="Times New Roman" w:hAnsi="Times New Roman" w:eastAsia="宋体" w:cs="Times New Roman"/>
                <w:color w:val="auto"/>
                <w:kern w:val="0"/>
                <w:sz w:val="22"/>
                <w:szCs w:val="22"/>
                <w:highlight w:val="none"/>
              </w:rPr>
              <w:t>发包人：（盖单位章）</w:t>
            </w:r>
          </w:p>
        </w:tc>
        <w:tc>
          <w:tcPr>
            <w:tcW w:w="2979" w:type="dxa"/>
          </w:tcPr>
          <w:p w14:paraId="7662EC9C">
            <w:pPr>
              <w:widowControl/>
              <w:snapToGrid w:val="0"/>
              <w:rPr>
                <w:rFonts w:hint="default" w:ascii="Times New Roman" w:hAnsi="Times New Roman" w:eastAsia="宋体" w:cs="Times New Roman"/>
                <w:color w:val="auto"/>
                <w:kern w:val="0"/>
                <w:sz w:val="22"/>
                <w:szCs w:val="22"/>
                <w:highlight w:val="none"/>
                <w:u w:val="single"/>
              </w:rPr>
            </w:pPr>
            <w:r>
              <w:rPr>
                <w:rFonts w:hint="default" w:ascii="Times New Roman" w:hAnsi="Times New Roman" w:eastAsia="宋体" w:cs="Times New Roman"/>
                <w:color w:val="auto"/>
                <w:kern w:val="0"/>
                <w:sz w:val="22"/>
                <w:szCs w:val="22"/>
                <w:highlight w:val="none"/>
                <w:u w:val="single"/>
              </w:rPr>
              <w:t>西安高新技术产业开发区公共项目建设管理中心</w:t>
            </w:r>
          </w:p>
        </w:tc>
        <w:tc>
          <w:tcPr>
            <w:tcW w:w="2273" w:type="dxa"/>
          </w:tcPr>
          <w:p w14:paraId="6015CC35">
            <w:pPr>
              <w:widowControl/>
              <w:snapToGrid w:val="0"/>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承包人（联合体牵头人）：（盖单位章）</w:t>
            </w:r>
          </w:p>
        </w:tc>
        <w:tc>
          <w:tcPr>
            <w:tcW w:w="2842" w:type="dxa"/>
          </w:tcPr>
          <w:p w14:paraId="53D02D86">
            <w:pPr>
              <w:widowControl/>
              <w:snapToGrid w:val="0"/>
              <w:rPr>
                <w:rFonts w:hint="default" w:ascii="Times New Roman" w:hAnsi="Times New Roman" w:eastAsia="宋体" w:cs="Times New Roman"/>
                <w:color w:val="auto"/>
                <w:kern w:val="0"/>
                <w:sz w:val="22"/>
                <w:szCs w:val="22"/>
                <w:highlight w:val="none"/>
                <w:u w:val="single"/>
              </w:rPr>
            </w:pPr>
            <w:r>
              <w:rPr>
                <w:rFonts w:hint="default" w:ascii="Times New Roman" w:hAnsi="Times New Roman" w:eastAsia="宋体" w:cs="Times New Roman"/>
                <w:color w:val="auto"/>
                <w:kern w:val="0"/>
                <w:sz w:val="22"/>
                <w:szCs w:val="22"/>
                <w:highlight w:val="none"/>
                <w:u w:val="single"/>
              </w:rPr>
              <w:t>陕西建工集团股份有限公司</w:t>
            </w:r>
          </w:p>
        </w:tc>
      </w:tr>
      <w:tr w14:paraId="1B6B69E3">
        <w:tblPrEx>
          <w:tblCellMar>
            <w:top w:w="0" w:type="dxa"/>
            <w:left w:w="108" w:type="dxa"/>
            <w:bottom w:w="0" w:type="dxa"/>
            <w:right w:w="108" w:type="dxa"/>
          </w:tblCellMar>
        </w:tblPrEx>
        <w:trPr>
          <w:trHeight w:val="968" w:hRule="atLeast"/>
        </w:trPr>
        <w:tc>
          <w:tcPr>
            <w:tcW w:w="2024" w:type="dxa"/>
          </w:tcPr>
          <w:p w14:paraId="32A1CFEF">
            <w:pPr>
              <w:widowControl/>
              <w:snapToGrid w:val="0"/>
              <w:jc w:val="left"/>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法定代表人或</w:t>
            </w:r>
          </w:p>
          <w:p w14:paraId="50ED9ED2">
            <w:pPr>
              <w:widowControl/>
              <w:snapToGrid w:val="0"/>
              <w:jc w:val="left"/>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2"/>
                <w:szCs w:val="22"/>
                <w:highlight w:val="none"/>
              </w:rPr>
              <w:t>其委托代理人：</w:t>
            </w:r>
          </w:p>
        </w:tc>
        <w:tc>
          <w:tcPr>
            <w:tcW w:w="2979" w:type="dxa"/>
          </w:tcPr>
          <w:p w14:paraId="6DE4BB68">
            <w:pPr>
              <w:widowControl/>
              <w:snapToGrid w:val="0"/>
              <w:jc w:val="left"/>
              <w:rPr>
                <w:rFonts w:hint="default" w:ascii="Times New Roman" w:hAnsi="Times New Roman" w:eastAsia="宋体" w:cs="Times New Roman"/>
                <w:color w:val="auto"/>
                <w:kern w:val="0"/>
                <w:sz w:val="22"/>
                <w:szCs w:val="22"/>
                <w:highlight w:val="none"/>
                <w:u w:val="single"/>
              </w:rPr>
            </w:pPr>
          </w:p>
          <w:p w14:paraId="02FDF7E2">
            <w:pPr>
              <w:widowControl/>
              <w:snapToGrid w:val="0"/>
              <w:jc w:val="center"/>
              <w:rPr>
                <w:rFonts w:hint="default" w:ascii="Times New Roman" w:hAnsi="Times New Roman" w:eastAsia="宋体" w:cs="Times New Roman"/>
                <w:color w:val="auto"/>
                <w:kern w:val="0"/>
                <w:sz w:val="22"/>
                <w:szCs w:val="22"/>
                <w:highlight w:val="none"/>
                <w:u w:val="single"/>
              </w:rPr>
            </w:pPr>
            <w:r>
              <w:rPr>
                <w:rFonts w:hint="default" w:ascii="Times New Roman" w:hAnsi="Times New Roman" w:eastAsia="宋体" w:cs="Times New Roman"/>
                <w:color w:val="auto"/>
                <w:kern w:val="0"/>
                <w:sz w:val="22"/>
                <w:szCs w:val="22"/>
                <w:highlight w:val="none"/>
              </w:rPr>
              <w:t>（签字或盖章）</w:t>
            </w:r>
          </w:p>
        </w:tc>
        <w:tc>
          <w:tcPr>
            <w:tcW w:w="2273" w:type="dxa"/>
          </w:tcPr>
          <w:p w14:paraId="12556D78">
            <w:pPr>
              <w:widowControl/>
              <w:snapToGrid w:val="0"/>
              <w:jc w:val="left"/>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法定代表人或</w:t>
            </w:r>
          </w:p>
          <w:p w14:paraId="3362BF33">
            <w:pPr>
              <w:widowControl/>
              <w:snapToGrid w:val="0"/>
              <w:jc w:val="left"/>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其委托代理人：</w:t>
            </w:r>
          </w:p>
        </w:tc>
        <w:tc>
          <w:tcPr>
            <w:tcW w:w="2842" w:type="dxa"/>
          </w:tcPr>
          <w:p w14:paraId="6EA95CB6">
            <w:pPr>
              <w:widowControl/>
              <w:snapToGrid w:val="0"/>
              <w:jc w:val="left"/>
              <w:rPr>
                <w:rFonts w:hint="default" w:ascii="Times New Roman" w:hAnsi="Times New Roman" w:eastAsia="宋体" w:cs="Times New Roman"/>
                <w:color w:val="auto"/>
                <w:kern w:val="0"/>
                <w:sz w:val="22"/>
                <w:szCs w:val="22"/>
                <w:highlight w:val="none"/>
                <w:u w:val="single"/>
              </w:rPr>
            </w:pPr>
          </w:p>
          <w:p w14:paraId="394227FE">
            <w:pPr>
              <w:widowControl/>
              <w:snapToGrid w:val="0"/>
              <w:jc w:val="center"/>
              <w:rPr>
                <w:rFonts w:hint="default" w:ascii="Times New Roman" w:hAnsi="Times New Roman" w:eastAsia="宋体" w:cs="Times New Roman"/>
                <w:color w:val="auto"/>
                <w:kern w:val="0"/>
                <w:sz w:val="22"/>
                <w:szCs w:val="22"/>
                <w:highlight w:val="none"/>
                <w:u w:val="single"/>
              </w:rPr>
            </w:pPr>
            <w:r>
              <w:rPr>
                <w:rFonts w:hint="default" w:ascii="Times New Roman" w:hAnsi="Times New Roman" w:eastAsia="宋体" w:cs="Times New Roman"/>
                <w:color w:val="auto"/>
                <w:kern w:val="0"/>
                <w:sz w:val="22"/>
                <w:szCs w:val="22"/>
                <w:highlight w:val="none"/>
              </w:rPr>
              <w:t>（签字或盖章）</w:t>
            </w:r>
          </w:p>
        </w:tc>
      </w:tr>
      <w:tr w14:paraId="3A246D34">
        <w:tblPrEx>
          <w:tblCellMar>
            <w:top w:w="0" w:type="dxa"/>
            <w:left w:w="108" w:type="dxa"/>
            <w:bottom w:w="0" w:type="dxa"/>
            <w:right w:w="108" w:type="dxa"/>
          </w:tblCellMar>
        </w:tblPrEx>
        <w:trPr>
          <w:trHeight w:val="468" w:hRule="atLeast"/>
        </w:trPr>
        <w:tc>
          <w:tcPr>
            <w:tcW w:w="2024" w:type="dxa"/>
          </w:tcPr>
          <w:p w14:paraId="45A82844">
            <w:pPr>
              <w:widowControl/>
              <w:snapToGrid w:val="0"/>
              <w:jc w:val="left"/>
              <w:rPr>
                <w:rFonts w:hint="default" w:ascii="Times New Roman" w:hAnsi="Times New Roman" w:eastAsia="宋体" w:cs="Times New Roman"/>
                <w:color w:val="auto"/>
                <w:kern w:val="0"/>
                <w:sz w:val="22"/>
                <w:szCs w:val="22"/>
                <w:highlight w:val="none"/>
              </w:rPr>
            </w:pPr>
          </w:p>
        </w:tc>
        <w:tc>
          <w:tcPr>
            <w:tcW w:w="2979" w:type="dxa"/>
          </w:tcPr>
          <w:p w14:paraId="184778A8">
            <w:pPr>
              <w:widowControl/>
              <w:snapToGrid w:val="0"/>
              <w:jc w:val="right"/>
              <w:rPr>
                <w:rFonts w:hint="default" w:ascii="Times New Roman" w:hAnsi="Times New Roman" w:eastAsia="宋体" w:cs="Times New Roman"/>
                <w:color w:val="auto"/>
                <w:kern w:val="0"/>
                <w:sz w:val="22"/>
                <w:szCs w:val="22"/>
                <w:highlight w:val="none"/>
                <w:u w:val="single"/>
              </w:rPr>
            </w:pPr>
            <w:r>
              <w:rPr>
                <w:rFonts w:hint="default" w:ascii="Times New Roman" w:hAnsi="Times New Roman" w:eastAsia="宋体" w:cs="Times New Roman"/>
                <w:color w:val="auto"/>
                <w:kern w:val="0"/>
                <w:sz w:val="22"/>
                <w:szCs w:val="22"/>
                <w:highlight w:val="none"/>
                <w:u w:val="single"/>
              </w:rPr>
              <w:t xml:space="preserve">    </w:t>
            </w:r>
            <w:r>
              <w:rPr>
                <w:rFonts w:hint="default" w:ascii="Times New Roman" w:hAnsi="Times New Roman" w:eastAsia="宋体" w:cs="Times New Roman"/>
                <w:color w:val="auto"/>
                <w:kern w:val="0"/>
                <w:sz w:val="22"/>
                <w:szCs w:val="22"/>
                <w:highlight w:val="none"/>
              </w:rPr>
              <w:t>年</w:t>
            </w:r>
            <w:r>
              <w:rPr>
                <w:rFonts w:hint="default" w:ascii="Times New Roman" w:hAnsi="Times New Roman" w:eastAsia="宋体" w:cs="Times New Roman"/>
                <w:color w:val="auto"/>
                <w:kern w:val="0"/>
                <w:sz w:val="22"/>
                <w:szCs w:val="22"/>
                <w:highlight w:val="none"/>
                <w:u w:val="single"/>
              </w:rPr>
              <w:t xml:space="preserve">    </w:t>
            </w:r>
            <w:r>
              <w:rPr>
                <w:rFonts w:hint="default" w:ascii="Times New Roman" w:hAnsi="Times New Roman" w:eastAsia="宋体" w:cs="Times New Roman"/>
                <w:color w:val="auto"/>
                <w:kern w:val="0"/>
                <w:sz w:val="22"/>
                <w:szCs w:val="22"/>
                <w:highlight w:val="none"/>
              </w:rPr>
              <w:t>月</w:t>
            </w:r>
            <w:r>
              <w:rPr>
                <w:rFonts w:hint="default" w:ascii="Times New Roman" w:hAnsi="Times New Roman" w:eastAsia="宋体" w:cs="Times New Roman"/>
                <w:color w:val="auto"/>
                <w:kern w:val="0"/>
                <w:sz w:val="22"/>
                <w:szCs w:val="22"/>
                <w:highlight w:val="none"/>
                <w:u w:val="single"/>
              </w:rPr>
              <w:t xml:space="preserve">    </w:t>
            </w:r>
            <w:r>
              <w:rPr>
                <w:rFonts w:hint="default" w:ascii="Times New Roman" w:hAnsi="Times New Roman" w:eastAsia="宋体" w:cs="Times New Roman"/>
                <w:color w:val="auto"/>
                <w:kern w:val="0"/>
                <w:sz w:val="22"/>
                <w:szCs w:val="22"/>
                <w:highlight w:val="none"/>
              </w:rPr>
              <w:t xml:space="preserve">日 </w:t>
            </w:r>
          </w:p>
        </w:tc>
        <w:tc>
          <w:tcPr>
            <w:tcW w:w="2273" w:type="dxa"/>
          </w:tcPr>
          <w:p w14:paraId="5529068C">
            <w:pPr>
              <w:widowControl/>
              <w:snapToGrid w:val="0"/>
              <w:jc w:val="left"/>
              <w:rPr>
                <w:rFonts w:hint="default" w:ascii="Times New Roman" w:hAnsi="Times New Roman" w:eastAsia="宋体" w:cs="Times New Roman"/>
                <w:color w:val="auto"/>
                <w:kern w:val="0"/>
                <w:sz w:val="22"/>
                <w:szCs w:val="22"/>
                <w:highlight w:val="none"/>
              </w:rPr>
            </w:pPr>
          </w:p>
        </w:tc>
        <w:tc>
          <w:tcPr>
            <w:tcW w:w="2842" w:type="dxa"/>
          </w:tcPr>
          <w:p w14:paraId="2F1B3DEA">
            <w:pPr>
              <w:widowControl/>
              <w:snapToGrid w:val="0"/>
              <w:jc w:val="right"/>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2"/>
                <w:szCs w:val="22"/>
                <w:highlight w:val="none"/>
                <w:u w:val="single"/>
              </w:rPr>
              <w:t xml:space="preserve">    </w:t>
            </w:r>
            <w:r>
              <w:rPr>
                <w:rFonts w:hint="default" w:ascii="Times New Roman" w:hAnsi="Times New Roman" w:eastAsia="宋体" w:cs="Times New Roman"/>
                <w:color w:val="auto"/>
                <w:kern w:val="0"/>
                <w:sz w:val="22"/>
                <w:szCs w:val="22"/>
                <w:highlight w:val="none"/>
              </w:rPr>
              <w:t>年</w:t>
            </w:r>
            <w:r>
              <w:rPr>
                <w:rFonts w:hint="default" w:ascii="Times New Roman" w:hAnsi="Times New Roman" w:eastAsia="宋体" w:cs="Times New Roman"/>
                <w:color w:val="auto"/>
                <w:kern w:val="0"/>
                <w:sz w:val="22"/>
                <w:szCs w:val="22"/>
                <w:highlight w:val="none"/>
                <w:u w:val="single"/>
              </w:rPr>
              <w:t xml:space="preserve">    </w:t>
            </w:r>
            <w:r>
              <w:rPr>
                <w:rFonts w:hint="default" w:ascii="Times New Roman" w:hAnsi="Times New Roman" w:eastAsia="宋体" w:cs="Times New Roman"/>
                <w:color w:val="auto"/>
                <w:kern w:val="0"/>
                <w:sz w:val="22"/>
                <w:szCs w:val="22"/>
                <w:highlight w:val="none"/>
              </w:rPr>
              <w:t>月</w:t>
            </w:r>
            <w:r>
              <w:rPr>
                <w:rFonts w:hint="default" w:ascii="Times New Roman" w:hAnsi="Times New Roman" w:eastAsia="宋体" w:cs="Times New Roman"/>
                <w:color w:val="auto"/>
                <w:kern w:val="0"/>
                <w:sz w:val="22"/>
                <w:szCs w:val="22"/>
                <w:highlight w:val="none"/>
                <w:u w:val="single"/>
              </w:rPr>
              <w:t xml:space="preserve">    </w:t>
            </w:r>
            <w:r>
              <w:rPr>
                <w:rFonts w:hint="default" w:ascii="Times New Roman" w:hAnsi="Times New Roman" w:eastAsia="宋体" w:cs="Times New Roman"/>
                <w:color w:val="auto"/>
                <w:kern w:val="0"/>
                <w:sz w:val="22"/>
                <w:szCs w:val="22"/>
                <w:highlight w:val="none"/>
              </w:rPr>
              <w:t>日</w:t>
            </w:r>
            <w:r>
              <w:rPr>
                <w:rFonts w:hint="default" w:ascii="Times New Roman" w:hAnsi="Times New Roman" w:eastAsia="宋体" w:cs="Times New Roman"/>
                <w:color w:val="auto"/>
                <w:sz w:val="22"/>
                <w:szCs w:val="22"/>
                <w:highlight w:val="none"/>
              </w:rPr>
              <w:t xml:space="preserve">       </w:t>
            </w:r>
          </w:p>
        </w:tc>
      </w:tr>
      <w:tr w14:paraId="16C091F0">
        <w:tblPrEx>
          <w:tblCellMar>
            <w:top w:w="0" w:type="dxa"/>
            <w:left w:w="108" w:type="dxa"/>
            <w:bottom w:w="0" w:type="dxa"/>
            <w:right w:w="108" w:type="dxa"/>
          </w:tblCellMar>
        </w:tblPrEx>
        <w:trPr>
          <w:trHeight w:val="316" w:hRule="atLeast"/>
        </w:trPr>
        <w:tc>
          <w:tcPr>
            <w:tcW w:w="2024" w:type="dxa"/>
          </w:tcPr>
          <w:p w14:paraId="1F3C64CB">
            <w:pPr>
              <w:widowControl/>
              <w:snapToGrid w:val="0"/>
              <w:jc w:val="left"/>
              <w:rPr>
                <w:rFonts w:hint="default" w:ascii="Times New Roman" w:hAnsi="Times New Roman" w:eastAsia="宋体" w:cs="Times New Roman"/>
                <w:color w:val="auto"/>
                <w:kern w:val="0"/>
                <w:sz w:val="22"/>
                <w:szCs w:val="22"/>
                <w:highlight w:val="none"/>
              </w:rPr>
            </w:pPr>
          </w:p>
        </w:tc>
        <w:tc>
          <w:tcPr>
            <w:tcW w:w="2979" w:type="dxa"/>
          </w:tcPr>
          <w:p w14:paraId="7E6CB9D0">
            <w:pPr>
              <w:widowControl/>
              <w:snapToGrid w:val="0"/>
              <w:jc w:val="left"/>
              <w:rPr>
                <w:rFonts w:hint="default" w:ascii="Times New Roman" w:hAnsi="Times New Roman" w:eastAsia="宋体" w:cs="Times New Roman"/>
                <w:color w:val="auto"/>
                <w:kern w:val="0"/>
                <w:sz w:val="22"/>
                <w:szCs w:val="22"/>
                <w:highlight w:val="none"/>
                <w:u w:val="single"/>
              </w:rPr>
            </w:pPr>
          </w:p>
        </w:tc>
        <w:tc>
          <w:tcPr>
            <w:tcW w:w="2273" w:type="dxa"/>
          </w:tcPr>
          <w:p w14:paraId="3E109AF8">
            <w:pPr>
              <w:widowControl/>
              <w:snapToGrid w:val="0"/>
              <w:jc w:val="left"/>
              <w:rPr>
                <w:rFonts w:hint="default" w:ascii="Times New Roman" w:hAnsi="Times New Roman" w:eastAsia="宋体" w:cs="Times New Roman"/>
                <w:color w:val="auto"/>
                <w:kern w:val="0"/>
                <w:sz w:val="22"/>
                <w:szCs w:val="22"/>
                <w:highlight w:val="none"/>
              </w:rPr>
            </w:pPr>
          </w:p>
        </w:tc>
        <w:tc>
          <w:tcPr>
            <w:tcW w:w="2842" w:type="dxa"/>
          </w:tcPr>
          <w:p w14:paraId="07AD9ACE">
            <w:pPr>
              <w:widowControl/>
              <w:snapToGrid w:val="0"/>
              <w:jc w:val="left"/>
              <w:rPr>
                <w:rFonts w:hint="default" w:ascii="Times New Roman" w:hAnsi="Times New Roman" w:eastAsia="宋体" w:cs="Times New Roman"/>
                <w:color w:val="auto"/>
                <w:sz w:val="22"/>
                <w:szCs w:val="22"/>
                <w:highlight w:val="none"/>
              </w:rPr>
            </w:pPr>
          </w:p>
        </w:tc>
      </w:tr>
      <w:tr w14:paraId="536C6A75">
        <w:tblPrEx>
          <w:tblCellMar>
            <w:top w:w="0" w:type="dxa"/>
            <w:left w:w="108" w:type="dxa"/>
            <w:bottom w:w="0" w:type="dxa"/>
            <w:right w:w="108" w:type="dxa"/>
          </w:tblCellMar>
        </w:tblPrEx>
        <w:trPr>
          <w:gridAfter w:val="2"/>
          <w:wAfter w:w="5115" w:type="dxa"/>
          <w:trHeight w:val="1139" w:hRule="atLeast"/>
        </w:trPr>
        <w:tc>
          <w:tcPr>
            <w:tcW w:w="2024" w:type="dxa"/>
          </w:tcPr>
          <w:p w14:paraId="34865505">
            <w:pPr>
              <w:widowControl/>
              <w:snapToGrid w:val="0"/>
              <w:jc w:val="left"/>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承包人（联合体成员）：（盖单位章）</w:t>
            </w:r>
          </w:p>
        </w:tc>
        <w:tc>
          <w:tcPr>
            <w:tcW w:w="2979" w:type="dxa"/>
          </w:tcPr>
          <w:p w14:paraId="3C2355E4">
            <w:pPr>
              <w:widowControl/>
              <w:snapToGrid w:val="0"/>
              <w:jc w:val="left"/>
              <w:rPr>
                <w:rFonts w:hint="default" w:ascii="Times New Roman" w:hAnsi="Times New Roman" w:eastAsia="宋体" w:cs="Times New Roman"/>
                <w:color w:val="auto"/>
                <w:kern w:val="0"/>
                <w:sz w:val="22"/>
                <w:szCs w:val="22"/>
                <w:highlight w:val="none"/>
                <w:u w:val="single"/>
              </w:rPr>
            </w:pPr>
            <w:r>
              <w:rPr>
                <w:rFonts w:hint="default" w:ascii="Times New Roman" w:hAnsi="Times New Roman" w:eastAsia="宋体" w:cs="Times New Roman"/>
                <w:color w:val="auto"/>
                <w:kern w:val="0"/>
                <w:sz w:val="22"/>
                <w:szCs w:val="22"/>
                <w:highlight w:val="none"/>
                <w:u w:val="single"/>
              </w:rPr>
              <w:t>广州地铁设计研究院股份有限公司</w:t>
            </w:r>
          </w:p>
        </w:tc>
      </w:tr>
      <w:tr w14:paraId="311CA09D">
        <w:tblPrEx>
          <w:tblCellMar>
            <w:top w:w="0" w:type="dxa"/>
            <w:left w:w="108" w:type="dxa"/>
            <w:bottom w:w="0" w:type="dxa"/>
            <w:right w:w="108" w:type="dxa"/>
          </w:tblCellMar>
        </w:tblPrEx>
        <w:trPr>
          <w:gridAfter w:val="2"/>
          <w:wAfter w:w="5115" w:type="dxa"/>
          <w:trHeight w:val="864" w:hRule="atLeast"/>
        </w:trPr>
        <w:tc>
          <w:tcPr>
            <w:tcW w:w="2024" w:type="dxa"/>
          </w:tcPr>
          <w:p w14:paraId="36AEA33C">
            <w:pPr>
              <w:widowControl/>
              <w:snapToGrid w:val="0"/>
              <w:jc w:val="left"/>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法定代表人或</w:t>
            </w:r>
          </w:p>
          <w:p w14:paraId="42C9E523">
            <w:pPr>
              <w:widowControl/>
              <w:snapToGrid w:val="0"/>
              <w:jc w:val="left"/>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其委托代理人：</w:t>
            </w:r>
          </w:p>
        </w:tc>
        <w:tc>
          <w:tcPr>
            <w:tcW w:w="2979" w:type="dxa"/>
          </w:tcPr>
          <w:p w14:paraId="020CA2C4">
            <w:pPr>
              <w:widowControl/>
              <w:snapToGrid w:val="0"/>
              <w:jc w:val="left"/>
              <w:rPr>
                <w:rFonts w:hint="default" w:ascii="Times New Roman" w:hAnsi="Times New Roman" w:eastAsia="宋体" w:cs="Times New Roman"/>
                <w:color w:val="auto"/>
                <w:kern w:val="0"/>
                <w:highlight w:val="none"/>
                <w:u w:val="single"/>
              </w:rPr>
            </w:pPr>
          </w:p>
          <w:p w14:paraId="3AE7C848">
            <w:pPr>
              <w:widowControl/>
              <w:snapToGrid w:val="0"/>
              <w:jc w:val="center"/>
              <w:rPr>
                <w:rFonts w:hint="default" w:ascii="Times New Roman" w:hAnsi="Times New Roman" w:eastAsia="宋体" w:cs="Times New Roman"/>
                <w:color w:val="auto"/>
                <w:kern w:val="0"/>
                <w:highlight w:val="none"/>
                <w:u w:val="single"/>
              </w:rPr>
            </w:pPr>
            <w:r>
              <w:rPr>
                <w:rFonts w:hint="default" w:ascii="Times New Roman" w:hAnsi="Times New Roman" w:eastAsia="宋体" w:cs="Times New Roman"/>
                <w:color w:val="auto"/>
                <w:kern w:val="0"/>
                <w:highlight w:val="none"/>
              </w:rPr>
              <w:t>（签字或盖章）</w:t>
            </w:r>
          </w:p>
        </w:tc>
      </w:tr>
      <w:tr w14:paraId="5386BB1E">
        <w:tblPrEx>
          <w:tblCellMar>
            <w:top w:w="0" w:type="dxa"/>
            <w:left w:w="108" w:type="dxa"/>
            <w:bottom w:w="0" w:type="dxa"/>
            <w:right w:w="108" w:type="dxa"/>
          </w:tblCellMar>
        </w:tblPrEx>
        <w:trPr>
          <w:gridAfter w:val="2"/>
          <w:wAfter w:w="5115" w:type="dxa"/>
          <w:trHeight w:val="393" w:hRule="atLeast"/>
        </w:trPr>
        <w:tc>
          <w:tcPr>
            <w:tcW w:w="2024" w:type="dxa"/>
          </w:tcPr>
          <w:p w14:paraId="0094776D">
            <w:pPr>
              <w:widowControl/>
              <w:snapToGrid w:val="0"/>
              <w:jc w:val="left"/>
              <w:rPr>
                <w:rFonts w:hint="default" w:ascii="Times New Roman" w:hAnsi="Times New Roman" w:eastAsia="宋体" w:cs="Times New Roman"/>
                <w:color w:val="auto"/>
                <w:kern w:val="0"/>
                <w:sz w:val="22"/>
                <w:szCs w:val="22"/>
                <w:highlight w:val="none"/>
              </w:rPr>
            </w:pPr>
          </w:p>
        </w:tc>
        <w:tc>
          <w:tcPr>
            <w:tcW w:w="2979" w:type="dxa"/>
          </w:tcPr>
          <w:p w14:paraId="286D22AC">
            <w:pPr>
              <w:widowControl/>
              <w:snapToGrid w:val="0"/>
              <w:jc w:val="right"/>
              <w:rPr>
                <w:rFonts w:hint="default" w:ascii="Times New Roman" w:hAnsi="Times New Roman" w:eastAsia="宋体" w:cs="Times New Roman"/>
                <w:color w:val="auto"/>
                <w:kern w:val="0"/>
                <w:sz w:val="22"/>
                <w:szCs w:val="22"/>
                <w:highlight w:val="none"/>
                <w:u w:val="single"/>
              </w:rPr>
            </w:pPr>
            <w:r>
              <w:rPr>
                <w:rFonts w:hint="default" w:ascii="Times New Roman" w:hAnsi="Times New Roman" w:eastAsia="宋体" w:cs="Times New Roman"/>
                <w:color w:val="auto"/>
                <w:kern w:val="0"/>
                <w:sz w:val="22"/>
                <w:szCs w:val="22"/>
                <w:highlight w:val="none"/>
                <w:u w:val="single"/>
              </w:rPr>
              <w:t xml:space="preserve">    </w:t>
            </w:r>
            <w:r>
              <w:rPr>
                <w:rFonts w:hint="default" w:ascii="Times New Roman" w:hAnsi="Times New Roman" w:eastAsia="宋体" w:cs="Times New Roman"/>
                <w:color w:val="auto"/>
                <w:kern w:val="0"/>
                <w:sz w:val="22"/>
                <w:szCs w:val="22"/>
                <w:highlight w:val="none"/>
              </w:rPr>
              <w:t>年</w:t>
            </w:r>
            <w:r>
              <w:rPr>
                <w:rFonts w:hint="default" w:ascii="Times New Roman" w:hAnsi="Times New Roman" w:eastAsia="宋体" w:cs="Times New Roman"/>
                <w:color w:val="auto"/>
                <w:kern w:val="0"/>
                <w:sz w:val="22"/>
                <w:szCs w:val="22"/>
                <w:highlight w:val="none"/>
                <w:u w:val="single"/>
              </w:rPr>
              <w:t xml:space="preserve">    </w:t>
            </w:r>
            <w:r>
              <w:rPr>
                <w:rFonts w:hint="default" w:ascii="Times New Roman" w:hAnsi="Times New Roman" w:eastAsia="宋体" w:cs="Times New Roman"/>
                <w:color w:val="auto"/>
                <w:kern w:val="0"/>
                <w:sz w:val="22"/>
                <w:szCs w:val="22"/>
                <w:highlight w:val="none"/>
              </w:rPr>
              <w:t>月</w:t>
            </w:r>
            <w:r>
              <w:rPr>
                <w:rFonts w:hint="default" w:ascii="Times New Roman" w:hAnsi="Times New Roman" w:eastAsia="宋体" w:cs="Times New Roman"/>
                <w:color w:val="auto"/>
                <w:kern w:val="0"/>
                <w:sz w:val="22"/>
                <w:szCs w:val="22"/>
                <w:highlight w:val="none"/>
                <w:u w:val="single"/>
              </w:rPr>
              <w:t xml:space="preserve">    </w:t>
            </w:r>
            <w:r>
              <w:rPr>
                <w:rFonts w:hint="default" w:ascii="Times New Roman" w:hAnsi="Times New Roman" w:eastAsia="宋体" w:cs="Times New Roman"/>
                <w:color w:val="auto"/>
                <w:kern w:val="0"/>
                <w:sz w:val="22"/>
                <w:szCs w:val="22"/>
                <w:highlight w:val="none"/>
              </w:rPr>
              <w:t xml:space="preserve">日 </w:t>
            </w:r>
          </w:p>
        </w:tc>
      </w:tr>
      <w:tr w14:paraId="0A3B090F">
        <w:tblPrEx>
          <w:tblCellMar>
            <w:top w:w="0" w:type="dxa"/>
            <w:left w:w="108" w:type="dxa"/>
            <w:bottom w:w="0" w:type="dxa"/>
            <w:right w:w="108" w:type="dxa"/>
          </w:tblCellMar>
        </w:tblPrEx>
        <w:trPr>
          <w:gridAfter w:val="2"/>
          <w:wAfter w:w="5115" w:type="dxa"/>
          <w:trHeight w:val="90" w:hRule="atLeast"/>
        </w:trPr>
        <w:tc>
          <w:tcPr>
            <w:tcW w:w="2024" w:type="dxa"/>
          </w:tcPr>
          <w:p w14:paraId="2446B6DD">
            <w:pPr>
              <w:widowControl/>
              <w:snapToGrid w:val="0"/>
              <w:jc w:val="left"/>
              <w:rPr>
                <w:rFonts w:hint="default" w:ascii="Times New Roman" w:hAnsi="Times New Roman" w:eastAsia="宋体" w:cs="Times New Roman"/>
                <w:color w:val="auto"/>
                <w:kern w:val="0"/>
                <w:sz w:val="22"/>
                <w:szCs w:val="22"/>
                <w:highlight w:val="none"/>
              </w:rPr>
            </w:pPr>
          </w:p>
        </w:tc>
        <w:tc>
          <w:tcPr>
            <w:tcW w:w="2979" w:type="dxa"/>
          </w:tcPr>
          <w:p w14:paraId="57DFDE45">
            <w:pPr>
              <w:widowControl/>
              <w:snapToGrid w:val="0"/>
              <w:jc w:val="left"/>
              <w:rPr>
                <w:rFonts w:hint="default" w:ascii="Times New Roman" w:hAnsi="Times New Roman" w:eastAsia="宋体" w:cs="Times New Roman"/>
                <w:color w:val="auto"/>
                <w:kern w:val="0"/>
                <w:sz w:val="22"/>
                <w:szCs w:val="22"/>
                <w:highlight w:val="none"/>
              </w:rPr>
            </w:pPr>
          </w:p>
        </w:tc>
      </w:tr>
    </w:tbl>
    <w:p w14:paraId="027DEA89">
      <w:pPr>
        <w:pStyle w:val="3"/>
        <w:jc w:val="center"/>
        <w:rPr>
          <w:rFonts w:hint="eastAsia" w:ascii="宋体" w:hAnsi="宋体" w:cs="宋体"/>
          <w:sz w:val="36"/>
          <w:szCs w:val="36"/>
          <w:highlight w:val="none"/>
        </w:rPr>
      </w:pPr>
      <w:r>
        <w:rPr>
          <w:rFonts w:hint="eastAsia" w:ascii="宋体" w:hAnsi="宋体" w:cs="宋体"/>
          <w:sz w:val="36"/>
          <w:szCs w:val="36"/>
          <w:highlight w:val="none"/>
        </w:rPr>
        <w:br w:type="page"/>
      </w:r>
    </w:p>
    <w:p w14:paraId="75216578">
      <w:pPr>
        <w:pStyle w:val="3"/>
        <w:jc w:val="center"/>
        <w:rPr>
          <w:rFonts w:hint="eastAsia" w:ascii="宋体" w:hAnsi="宋体" w:cs="宋体"/>
          <w:sz w:val="36"/>
          <w:szCs w:val="36"/>
          <w:highlight w:val="none"/>
        </w:rPr>
      </w:pPr>
      <w:r>
        <w:rPr>
          <w:rFonts w:hint="eastAsia" w:ascii="宋体" w:hAnsi="宋体" w:cs="宋体"/>
          <w:sz w:val="36"/>
          <w:szCs w:val="36"/>
          <w:highlight w:val="none"/>
        </w:rPr>
        <w:t>第二部分 通用合同条款</w:t>
      </w:r>
      <w:bookmarkEnd w:id="7"/>
    </w:p>
    <w:p w14:paraId="646BF492">
      <w:pPr>
        <w:pStyle w:val="3"/>
        <w:spacing w:before="156" w:beforeLines="50" w:after="0" w:line="360" w:lineRule="auto"/>
        <w:rPr>
          <w:rFonts w:hint="eastAsia" w:ascii="宋体" w:hAnsi="宋体" w:cs="宋体"/>
          <w:b w:val="0"/>
          <w:highlight w:val="none"/>
        </w:rPr>
      </w:pPr>
      <w:bookmarkStart w:id="8" w:name="_Toc184635098"/>
      <w:bookmarkStart w:id="9" w:name="_Toc480909774"/>
      <w:bookmarkStart w:id="10" w:name="_Toc247514035"/>
      <w:bookmarkStart w:id="11" w:name="_Toc247527636"/>
      <w:r>
        <w:rPr>
          <w:rFonts w:hint="eastAsia" w:ascii="宋体" w:hAnsi="宋体" w:cs="宋体"/>
          <w:b w:val="0"/>
          <w:highlight w:val="none"/>
        </w:rPr>
        <w:t>1. 一般约定</w:t>
      </w:r>
      <w:bookmarkEnd w:id="8"/>
      <w:bookmarkEnd w:id="9"/>
      <w:bookmarkEnd w:id="10"/>
      <w:bookmarkEnd w:id="11"/>
    </w:p>
    <w:p w14:paraId="21CA22D8">
      <w:pPr>
        <w:pStyle w:val="4"/>
        <w:spacing w:before="156" w:beforeLines="50"/>
        <w:rPr>
          <w:rFonts w:hint="eastAsia" w:ascii="宋体" w:hAnsi="宋体" w:cs="宋体"/>
          <w:sz w:val="36"/>
          <w:szCs w:val="28"/>
          <w:highlight w:val="none"/>
        </w:rPr>
      </w:pPr>
      <w:bookmarkStart w:id="12" w:name="_Toc247514036"/>
      <w:bookmarkStart w:id="13" w:name="_Toc247527637"/>
      <w:bookmarkStart w:id="14" w:name="_Toc480909775"/>
      <w:r>
        <w:rPr>
          <w:rFonts w:hint="eastAsia" w:ascii="宋体" w:hAnsi="宋体" w:cs="宋体"/>
          <w:sz w:val="36"/>
          <w:szCs w:val="28"/>
          <w:highlight w:val="none"/>
        </w:rPr>
        <w:t>1.1 词语定义</w:t>
      </w:r>
      <w:bookmarkEnd w:id="12"/>
      <w:bookmarkEnd w:id="13"/>
      <w:bookmarkEnd w:id="14"/>
    </w:p>
    <w:p w14:paraId="7913073B">
      <w:pPr>
        <w:spacing w:line="360" w:lineRule="auto"/>
        <w:ind w:firstLine="440" w:firstLineChars="200"/>
        <w:rPr>
          <w:rFonts w:hint="eastAsia" w:ascii="宋体" w:hAnsi="宋体" w:cs="宋体"/>
          <w:sz w:val="22"/>
          <w:highlight w:val="none"/>
        </w:rPr>
      </w:pPr>
      <w:bookmarkStart w:id="15" w:name="_Toc247514037"/>
      <w:bookmarkStart w:id="16" w:name="_Toc480909776"/>
      <w:bookmarkStart w:id="17" w:name="_Toc247527638"/>
      <w:r>
        <w:rPr>
          <w:rFonts w:hint="eastAsia" w:ascii="宋体" w:hAnsi="宋体" w:cs="宋体"/>
          <w:sz w:val="22"/>
          <w:highlight w:val="none"/>
        </w:rPr>
        <w:t>通用合同条款、专用合同条款中的下列词语应具有本款所赋予的含义。</w:t>
      </w:r>
    </w:p>
    <w:p w14:paraId="3A3E081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 合同</w:t>
      </w:r>
    </w:p>
    <w:p w14:paraId="1B704DE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1.1.1.1 合同文件（或称合同）：指合同协议书、中标通知书、投标函及投标函附录、专用合同条款、通用合同条款、发包人要求、价格清单、承包人建议书，以及其他构成合同组成部分的文件。</w:t>
      </w:r>
    </w:p>
    <w:p w14:paraId="6668A2A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1.1.1.2 合同协议书：指第1.5 款所指的合同协议书。</w:t>
      </w:r>
    </w:p>
    <w:p w14:paraId="56A118F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1.1.1.3 中标通知书：指发包人通知承包人中标的函件。中标通知书随附的澄清、说明、补正事项纪要等，是中标通知书的组成部分。</w:t>
      </w:r>
    </w:p>
    <w:p w14:paraId="0474142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1.1.1.4 投标函：指构成合同文件组成部分的由承包人填写并签署的投标函。</w:t>
      </w:r>
    </w:p>
    <w:p w14:paraId="0CA4E9F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1.1.1.5 投标函附录：指附在投标函后构成合同文件的投标函附录。</w:t>
      </w:r>
    </w:p>
    <w:p w14:paraId="547B8FA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1.1.1.6发包人要求：指构成合同文件组成部分的名为发包人要求的文件，包括招标项目的目的、范围、设计与其他发包人要求，以及合同双方当事人约定对其所作的修改或补充。</w:t>
      </w:r>
    </w:p>
    <w:p w14:paraId="0AF16CA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1.1.1.7 价格清单：指构成合同文件组成部分的由承包人按规定的格式和要求填写并标明价格的清单。</w:t>
      </w:r>
    </w:p>
    <w:p w14:paraId="32F740E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1.1.1.8承包人建议书：指构成合同文件组成部分的名为承包人建议书的文件。承包人建议书由承包人随投标函一起提交。承包人建议书应包括承包人的设计图纸及相应说明等设计文件。</w:t>
      </w:r>
    </w:p>
    <w:p w14:paraId="27B2A16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1.1.1.9 其他合同文件：指经合同双方当事人确认构成合同文件的其他文件。</w:t>
      </w:r>
    </w:p>
    <w:p w14:paraId="4D9FCE0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1.1.2 合同当事人和人员</w:t>
      </w:r>
    </w:p>
    <w:p w14:paraId="58AA4DB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1.1.2.1 合同当事人：指发包人和（或）承包人。</w:t>
      </w:r>
    </w:p>
    <w:p w14:paraId="30E1537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1.1.2.2 发包人：指专用合同条款中指明并与承包人在合同协议书中签字的当事人。</w:t>
      </w:r>
    </w:p>
    <w:p w14:paraId="4E5D5E6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1.1.2.3 承包人：指与发包人签订合同协议书的当事人。</w:t>
      </w:r>
    </w:p>
    <w:p w14:paraId="206DA51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1.1.2.4 承包人项目经理（项目总负责人）：指承包人指定代表承包人履行义务，负责组织指导协调施工工作并具有相应资格的人员。</w:t>
      </w:r>
    </w:p>
    <w:p w14:paraId="615160A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1.1.2.5 设计负责人：指承包人指定负责组织指导协调设计工作并具有相应资格的人员。</w:t>
      </w:r>
    </w:p>
    <w:p w14:paraId="3231B39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1.1.2.6 采购负责人：指承包人指定负责组织指导协调采购工作的人员。</w:t>
      </w:r>
    </w:p>
    <w:p w14:paraId="0BD8B98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1.1.2.7 分包人：指从承包人处分包合同中某一部分工作，并与其签订分包合同的分包人。</w:t>
      </w:r>
    </w:p>
    <w:p w14:paraId="63D64D5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1.1.2.8 监理人：指在专用合同条款中指明的，受发包人委托对合同履行实施管理的法人或其他组织。属于国家强制监理的，监理人应当具有相应的监理资质。</w:t>
      </w:r>
    </w:p>
    <w:p w14:paraId="77696AC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1.1.2.9 总监理工程师：指由监理人委派对合同履行实施管理的全权负责人。</w:t>
      </w:r>
    </w:p>
    <w:p w14:paraId="69FB6A7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 工程和设备</w:t>
      </w:r>
    </w:p>
    <w:p w14:paraId="62CE80B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1.1.3.1 工程：指永久工程和（或）临时工程。</w:t>
      </w:r>
    </w:p>
    <w:p w14:paraId="02CE906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1.1.3.2 永久工程：指按合同约定建造并移交给发包人的工程，包括工程设备。</w:t>
      </w:r>
    </w:p>
    <w:p w14:paraId="79ECF1D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1.1.3.3 临时工程：指为完成合同约定的永久工程所修建的各类临时性工程，不包括施工设备。</w:t>
      </w:r>
    </w:p>
    <w:p w14:paraId="7B33D2A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1.1.3.4 区段工程：指专用合同条款中指明特定范围的能单独接收并使用的永久工程。</w:t>
      </w:r>
    </w:p>
    <w:p w14:paraId="78D6101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1.1.3.5 工程设备：指构成或计划构成永久工程的机电设备、仪器装置、运载工具及其他类似的设备和装置。</w:t>
      </w:r>
    </w:p>
    <w:p w14:paraId="57D3BD0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1.1.3.6 施工设备：指为完成合同约定的各项工作所需的设备、器具和其他物品，不包括临时工程和材料。</w:t>
      </w:r>
    </w:p>
    <w:p w14:paraId="239FB86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1.1.3.7 临时设施：指为完成合同约定的各项工作所服务的临时性生产和生活设施。</w:t>
      </w:r>
    </w:p>
    <w:p w14:paraId="55958DB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1.1.3.8 承包人设备：指承包人为工程实施提供的施工设备。</w:t>
      </w:r>
    </w:p>
    <w:p w14:paraId="70C6098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1.1.3.9 施工场地（或称工地、现场）：指用于合同工程施工的场所，以及在合同中指定作为施工场地组成部分的其他场所，包括永久占地和临时占地。</w:t>
      </w:r>
    </w:p>
    <w:p w14:paraId="348433D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1.1.3.10 永久占地：指专用合同条款中指明为实施合同工程需永久占用的土地。</w:t>
      </w:r>
    </w:p>
    <w:p w14:paraId="0BAA391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1.1.3.11 临时占地：指专用合同条款中指明为实施合同工程需临时占用的土地。</w:t>
      </w:r>
    </w:p>
    <w:p w14:paraId="149F9CD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 日期、检验和竣工</w:t>
      </w:r>
    </w:p>
    <w:p w14:paraId="006F2A2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1.1.4.1 开始工作通知：指监理人按第11.1 款通知承包人开始工作的函件。</w:t>
      </w:r>
    </w:p>
    <w:p w14:paraId="3E32099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1.1.4.2 开始工作日期：指监理人按第11.1款发出的开始工作通知中写明的开始工作日期。</w:t>
      </w:r>
    </w:p>
    <w:p w14:paraId="12D21D5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1.1.4.3 工期：指承包人在投标函中承诺的完成合同工作所需的期限，包括按第11.3款、第11.4款和第11.6款约定所作的变更。</w:t>
      </w:r>
    </w:p>
    <w:p w14:paraId="7C26BDE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1.1.4.4 竣工日期：指第1.1.4.3目约定工期届满时的日期。实际竣工日期以工程接收证书中写明的日期为准。</w:t>
      </w:r>
    </w:p>
    <w:p w14:paraId="4419D60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1.1.4.5 缺陷责任期：指履行第19.2款约定的缺陷责任的期限，具体期限在发包人要求中明确的包括根据第19.3 款约定所作的延长。</w:t>
      </w:r>
    </w:p>
    <w:p w14:paraId="38E4767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1.1.4.6 基准日期：指投标截止之日前28天的日期。</w:t>
      </w:r>
    </w:p>
    <w:p w14:paraId="3852B59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1.1.4.7 天：除特别指明外，指日历天。合同中按天计算时间的，开始当天不计入，从次日开始计算。期限最后一天的截止时间为当天24:00。</w:t>
      </w:r>
    </w:p>
    <w:p w14:paraId="0DBAA4D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1.1.4.8 竣工试验：是指在工程竣工验收前，根据第18.1款要求进行的试验。</w:t>
      </w:r>
    </w:p>
    <w:p w14:paraId="4BD56B2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1.1.4.9 竣工验收：是指承包人完成了全部合同工作后，发包人按合同要求进行的验收。</w:t>
      </w:r>
    </w:p>
    <w:p w14:paraId="01F4F87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1.1.4.10 竣工后试验：是指在工程竣工验收后，根据第18.9款约定进行的试验。</w:t>
      </w:r>
    </w:p>
    <w:p w14:paraId="0BCA527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1.1.4.11国家验收：是指政府有关部门根据法律、规范、规程和政策要求，针对发包人全面组织实施的整个工程正式交付投运前的验收。</w:t>
      </w:r>
    </w:p>
    <w:p w14:paraId="765377D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1.1.5 合同价格和费用</w:t>
      </w:r>
    </w:p>
    <w:p w14:paraId="4F25AEE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1.1.5.1 签约合同价：指中标通知书明确并在签定合同时于合同协议书中写明的，包括了暂列金额、暂估价的合同总金额。</w:t>
      </w:r>
    </w:p>
    <w:p w14:paraId="16FA88E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1.1.5.2 合同价格：指承包人按合同约定完成了包括缺陷责任期内的全部承包工作后，发包人应付给承包人的金额，包括在履行合同过程中按合同约定进行的变更和调整。</w:t>
      </w:r>
    </w:p>
    <w:p w14:paraId="7AC773A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1.1.5.3 费用：指为履行合同所发生的或将要发生的所有合理开支，包括管理费和应分摊的其他费用，但不包括利润。</w:t>
      </w:r>
    </w:p>
    <w:p w14:paraId="1F381C5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1.1.5.4 暂列金额：指招标文件中给定的，用于在签订协议书时尚未确定或不可预见变更的设计、施工及其所需材料、工程设备、服务等的金额，包括以计日工方式支付的金额。</w:t>
      </w:r>
    </w:p>
    <w:p w14:paraId="03CEBB4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1.1.5.5 暂估价：指招标文件中给定的，用于支付必然发生但暂时不能确定价格的专业服务、材料、设备专业工程的金额。</w:t>
      </w:r>
    </w:p>
    <w:p w14:paraId="0178415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1.1.5.6 计日工：指对零星工作采取的一种计价方式，按合同中的计日工子目及其单价计价付款。</w:t>
      </w:r>
    </w:p>
    <w:p w14:paraId="2AB51F6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1.1.5.7 质量保证金：指按第17.4.1项约定用于保证在缺陷责任期内履行缺陷修复义务的金额。</w:t>
      </w:r>
    </w:p>
    <w:p w14:paraId="01C3B2E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1.1.6 其他</w:t>
      </w:r>
    </w:p>
    <w:p w14:paraId="66500C7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1.1.6.1 书面形式：指合同文件、信函、电报、传真、数据电文、电子邮件、会议纪要等可以有形地表现所载内容的形式。</w:t>
      </w:r>
    </w:p>
    <w:p w14:paraId="49A9B09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1.1.6.2 承包人文件：指由承包人根据合同应提交的所有图纸、手册、模型、计算书、软件和其他文件。</w:t>
      </w:r>
    </w:p>
    <w:p w14:paraId="21DB1C8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1.1.6.3 变更是指根据第15条的约定，经指示或批准对发包人要求或工程所做的改变。</w:t>
      </w:r>
    </w:p>
    <w:p w14:paraId="551B2A7D">
      <w:pPr>
        <w:pStyle w:val="4"/>
        <w:spacing w:before="156" w:beforeLines="50"/>
        <w:rPr>
          <w:rFonts w:hint="eastAsia" w:ascii="宋体" w:hAnsi="宋体" w:cs="宋体"/>
          <w:sz w:val="36"/>
          <w:szCs w:val="28"/>
          <w:highlight w:val="none"/>
        </w:rPr>
      </w:pPr>
      <w:r>
        <w:rPr>
          <w:rFonts w:hint="eastAsia" w:ascii="宋体" w:hAnsi="宋体" w:cs="宋体"/>
          <w:sz w:val="36"/>
          <w:szCs w:val="28"/>
          <w:highlight w:val="none"/>
        </w:rPr>
        <w:t>1.2 语言文字</w:t>
      </w:r>
      <w:bookmarkEnd w:id="15"/>
      <w:bookmarkEnd w:id="16"/>
      <w:bookmarkEnd w:id="17"/>
    </w:p>
    <w:p w14:paraId="05003F8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合同使用的语言文字为中文。专用术语使用外文的，应附有中文注释。</w:t>
      </w:r>
    </w:p>
    <w:p w14:paraId="62CDCC60">
      <w:pPr>
        <w:pStyle w:val="4"/>
        <w:spacing w:before="156" w:beforeLines="50"/>
        <w:rPr>
          <w:rFonts w:hint="eastAsia" w:ascii="宋体" w:hAnsi="宋体" w:cs="宋体"/>
          <w:sz w:val="36"/>
          <w:szCs w:val="28"/>
          <w:highlight w:val="none"/>
        </w:rPr>
      </w:pPr>
      <w:bookmarkStart w:id="18" w:name="_Toc247527639"/>
      <w:bookmarkStart w:id="19" w:name="_Toc247514038"/>
      <w:bookmarkStart w:id="20" w:name="_Toc480909777"/>
      <w:r>
        <w:rPr>
          <w:rFonts w:hint="eastAsia" w:ascii="宋体" w:hAnsi="宋体" w:cs="宋体"/>
          <w:sz w:val="36"/>
          <w:szCs w:val="28"/>
          <w:highlight w:val="none"/>
        </w:rPr>
        <w:t>1.3 法律</w:t>
      </w:r>
      <w:bookmarkEnd w:id="18"/>
      <w:bookmarkEnd w:id="19"/>
      <w:bookmarkEnd w:id="20"/>
    </w:p>
    <w:p w14:paraId="3964B7B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适用于合同的法律包括中华人民共和国法律、行政法规、部门规章，以及工程所在地的地方法规、自治条例、单行条例和地方政府规章。</w:t>
      </w:r>
    </w:p>
    <w:p w14:paraId="298D44E7">
      <w:pPr>
        <w:pStyle w:val="4"/>
        <w:spacing w:before="156" w:beforeLines="50"/>
        <w:rPr>
          <w:rFonts w:hint="eastAsia" w:ascii="宋体" w:hAnsi="宋体" w:cs="宋体"/>
          <w:sz w:val="36"/>
          <w:szCs w:val="28"/>
          <w:highlight w:val="none"/>
        </w:rPr>
      </w:pPr>
      <w:bookmarkStart w:id="21" w:name="_Toc247527640"/>
      <w:bookmarkStart w:id="22" w:name="_Toc480909778"/>
      <w:bookmarkStart w:id="23" w:name="_Toc247514039"/>
      <w:r>
        <w:rPr>
          <w:rFonts w:hint="eastAsia" w:ascii="宋体" w:hAnsi="宋体" w:cs="宋体"/>
          <w:sz w:val="36"/>
          <w:szCs w:val="28"/>
          <w:highlight w:val="none"/>
        </w:rPr>
        <w:t>1.4 合同文件的优先顺序</w:t>
      </w:r>
      <w:bookmarkEnd w:id="21"/>
      <w:bookmarkEnd w:id="22"/>
      <w:bookmarkEnd w:id="23"/>
    </w:p>
    <w:p w14:paraId="414E92D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组成合同的各项文件应互相解释，互为说明。除专用合同条款另有约定外，解释合同文件的优先顺序如下：</w:t>
      </w:r>
    </w:p>
    <w:p w14:paraId="0729548C">
      <w:pPr>
        <w:spacing w:line="360" w:lineRule="auto"/>
        <w:ind w:firstLine="420"/>
        <w:rPr>
          <w:rFonts w:hint="eastAsia" w:ascii="宋体" w:hAnsi="宋体" w:cs="宋体"/>
          <w:sz w:val="22"/>
          <w:szCs w:val="24"/>
          <w:highlight w:val="none"/>
        </w:rPr>
      </w:pPr>
      <w:r>
        <w:rPr>
          <w:rFonts w:hint="eastAsia" w:ascii="宋体" w:hAnsi="宋体" w:cs="宋体"/>
          <w:sz w:val="22"/>
          <w:szCs w:val="24"/>
          <w:highlight w:val="none"/>
        </w:rPr>
        <w:t>（1）合同协议书；</w:t>
      </w:r>
    </w:p>
    <w:p w14:paraId="23299736">
      <w:pPr>
        <w:spacing w:line="360" w:lineRule="auto"/>
        <w:ind w:firstLine="420"/>
        <w:rPr>
          <w:rFonts w:hint="eastAsia" w:ascii="宋体" w:hAnsi="宋体" w:cs="宋体"/>
          <w:sz w:val="22"/>
          <w:szCs w:val="24"/>
          <w:highlight w:val="none"/>
        </w:rPr>
      </w:pPr>
      <w:r>
        <w:rPr>
          <w:rFonts w:hint="eastAsia" w:ascii="宋体" w:hAnsi="宋体" w:cs="宋体"/>
          <w:sz w:val="22"/>
          <w:szCs w:val="24"/>
          <w:highlight w:val="none"/>
        </w:rPr>
        <w:t>（2）中标通知书；</w:t>
      </w:r>
    </w:p>
    <w:p w14:paraId="6B0CE72D">
      <w:pPr>
        <w:spacing w:line="360" w:lineRule="auto"/>
        <w:ind w:firstLine="420"/>
        <w:rPr>
          <w:rFonts w:hint="eastAsia" w:ascii="宋体" w:hAnsi="宋体" w:cs="宋体"/>
          <w:sz w:val="22"/>
          <w:szCs w:val="24"/>
          <w:highlight w:val="none"/>
        </w:rPr>
      </w:pPr>
      <w:r>
        <w:rPr>
          <w:rFonts w:hint="eastAsia" w:ascii="宋体" w:hAnsi="宋体" w:cs="宋体"/>
          <w:sz w:val="22"/>
          <w:szCs w:val="24"/>
          <w:highlight w:val="none"/>
        </w:rPr>
        <w:t>（3）投标函及投标函附录；</w:t>
      </w:r>
    </w:p>
    <w:p w14:paraId="1F1FFF60">
      <w:pPr>
        <w:spacing w:line="360" w:lineRule="auto"/>
        <w:ind w:firstLine="420"/>
        <w:rPr>
          <w:rFonts w:hint="eastAsia" w:ascii="宋体" w:hAnsi="宋体" w:cs="宋体"/>
          <w:sz w:val="22"/>
          <w:szCs w:val="24"/>
          <w:highlight w:val="none"/>
        </w:rPr>
      </w:pPr>
      <w:r>
        <w:rPr>
          <w:rFonts w:hint="eastAsia" w:ascii="宋体" w:hAnsi="宋体" w:cs="宋体"/>
          <w:sz w:val="22"/>
          <w:szCs w:val="24"/>
          <w:highlight w:val="none"/>
        </w:rPr>
        <w:t>（4）专用合同条款；</w:t>
      </w:r>
    </w:p>
    <w:p w14:paraId="474D1CD3">
      <w:pPr>
        <w:spacing w:line="360" w:lineRule="auto"/>
        <w:ind w:firstLine="420"/>
        <w:rPr>
          <w:rFonts w:hint="eastAsia" w:ascii="宋体" w:hAnsi="宋体" w:cs="宋体"/>
          <w:sz w:val="22"/>
          <w:szCs w:val="24"/>
          <w:highlight w:val="none"/>
        </w:rPr>
      </w:pPr>
      <w:r>
        <w:rPr>
          <w:rFonts w:hint="eastAsia" w:ascii="宋体" w:hAnsi="宋体" w:cs="宋体"/>
          <w:sz w:val="22"/>
          <w:szCs w:val="24"/>
          <w:highlight w:val="none"/>
        </w:rPr>
        <w:t>（5）通用合同条款；</w:t>
      </w:r>
    </w:p>
    <w:p w14:paraId="440D3EAE">
      <w:pPr>
        <w:spacing w:line="360" w:lineRule="auto"/>
        <w:ind w:firstLine="420"/>
        <w:rPr>
          <w:rFonts w:hint="eastAsia" w:ascii="宋体" w:hAnsi="宋体" w:cs="宋体"/>
          <w:sz w:val="22"/>
          <w:szCs w:val="24"/>
          <w:highlight w:val="none"/>
        </w:rPr>
      </w:pPr>
      <w:r>
        <w:rPr>
          <w:rFonts w:hint="eastAsia" w:ascii="宋体" w:hAnsi="宋体" w:cs="宋体"/>
          <w:sz w:val="22"/>
          <w:szCs w:val="24"/>
          <w:highlight w:val="none"/>
        </w:rPr>
        <w:t>（6）</w:t>
      </w:r>
      <w:r>
        <w:rPr>
          <w:rFonts w:hint="eastAsia" w:ascii="宋体" w:hAnsi="宋体" w:cs="宋体"/>
          <w:sz w:val="22"/>
          <w:highlight w:val="none"/>
        </w:rPr>
        <w:t>技术标准和要求</w:t>
      </w:r>
      <w:r>
        <w:rPr>
          <w:rFonts w:hint="eastAsia" w:ascii="宋体" w:hAnsi="宋体" w:cs="宋体"/>
          <w:sz w:val="22"/>
          <w:szCs w:val="24"/>
          <w:highlight w:val="none"/>
        </w:rPr>
        <w:t>；</w:t>
      </w:r>
    </w:p>
    <w:p w14:paraId="6AC9213F">
      <w:pPr>
        <w:spacing w:line="360" w:lineRule="auto"/>
        <w:ind w:firstLine="420"/>
        <w:rPr>
          <w:rFonts w:hint="eastAsia" w:ascii="宋体" w:hAnsi="宋体" w:cs="宋体"/>
          <w:sz w:val="22"/>
          <w:szCs w:val="24"/>
          <w:highlight w:val="none"/>
        </w:rPr>
      </w:pPr>
      <w:r>
        <w:rPr>
          <w:rFonts w:hint="eastAsia" w:ascii="宋体" w:hAnsi="宋体" w:cs="宋体"/>
          <w:sz w:val="22"/>
          <w:szCs w:val="24"/>
          <w:highlight w:val="none"/>
        </w:rPr>
        <w:t xml:space="preserve">（7）承包人建议书； </w:t>
      </w:r>
    </w:p>
    <w:p w14:paraId="4DAB79F1">
      <w:pPr>
        <w:spacing w:line="360" w:lineRule="auto"/>
        <w:ind w:firstLine="420"/>
        <w:rPr>
          <w:rFonts w:hint="eastAsia" w:ascii="宋体" w:hAnsi="宋体" w:cs="宋体"/>
          <w:sz w:val="22"/>
          <w:szCs w:val="24"/>
          <w:highlight w:val="none"/>
        </w:rPr>
      </w:pPr>
      <w:r>
        <w:rPr>
          <w:rFonts w:hint="eastAsia" w:ascii="宋体" w:hAnsi="宋体" w:cs="宋体"/>
          <w:sz w:val="22"/>
          <w:szCs w:val="24"/>
          <w:highlight w:val="none"/>
        </w:rPr>
        <w:t>（8）价格清单；</w:t>
      </w:r>
    </w:p>
    <w:p w14:paraId="5A17F311">
      <w:pPr>
        <w:spacing w:line="360" w:lineRule="auto"/>
        <w:ind w:firstLine="420"/>
        <w:rPr>
          <w:rFonts w:hint="eastAsia" w:ascii="宋体" w:hAnsi="宋体" w:cs="宋体"/>
          <w:sz w:val="22"/>
          <w:highlight w:val="none"/>
        </w:rPr>
      </w:pPr>
      <w:r>
        <w:rPr>
          <w:rFonts w:hint="eastAsia" w:ascii="宋体" w:hAnsi="宋体" w:cs="宋体"/>
          <w:sz w:val="22"/>
          <w:szCs w:val="24"/>
          <w:highlight w:val="none"/>
        </w:rPr>
        <w:t>（9）其他合同</w:t>
      </w:r>
      <w:r>
        <w:rPr>
          <w:rFonts w:hint="eastAsia" w:ascii="宋体" w:hAnsi="宋体" w:cs="宋体"/>
          <w:sz w:val="22"/>
          <w:highlight w:val="none"/>
        </w:rPr>
        <w:t>文件。</w:t>
      </w:r>
    </w:p>
    <w:p w14:paraId="339CD517">
      <w:pPr>
        <w:pStyle w:val="4"/>
        <w:spacing w:before="156" w:beforeLines="50"/>
        <w:rPr>
          <w:rFonts w:hint="eastAsia" w:ascii="宋体" w:hAnsi="宋体" w:cs="宋体"/>
          <w:sz w:val="36"/>
          <w:szCs w:val="28"/>
          <w:highlight w:val="none"/>
        </w:rPr>
      </w:pPr>
      <w:bookmarkStart w:id="24" w:name="_Toc480909779"/>
      <w:bookmarkStart w:id="25" w:name="_Toc247514040"/>
      <w:bookmarkStart w:id="26" w:name="_Toc247527641"/>
      <w:r>
        <w:rPr>
          <w:rFonts w:hint="eastAsia" w:ascii="宋体" w:hAnsi="宋体" w:cs="宋体"/>
          <w:sz w:val="36"/>
          <w:szCs w:val="28"/>
          <w:highlight w:val="none"/>
        </w:rPr>
        <w:t>1.5 合同协议书</w:t>
      </w:r>
      <w:bookmarkEnd w:id="24"/>
      <w:bookmarkEnd w:id="25"/>
      <w:bookmarkEnd w:id="26"/>
    </w:p>
    <w:p w14:paraId="267D767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承包人按中标通知书规定的时间与发包人签订合同协议书。本合同协议书经双方法定代表人或其委托代理人签字，并分别加盖本单位公章，且在发包人收到一份合格的履约保证金后生效。</w:t>
      </w:r>
    </w:p>
    <w:p w14:paraId="2186FA0E">
      <w:pPr>
        <w:pStyle w:val="4"/>
        <w:spacing w:before="156" w:beforeLines="50"/>
        <w:rPr>
          <w:rFonts w:hint="eastAsia" w:ascii="宋体" w:hAnsi="宋体" w:cs="宋体"/>
          <w:sz w:val="36"/>
          <w:szCs w:val="28"/>
          <w:highlight w:val="none"/>
        </w:rPr>
      </w:pPr>
      <w:bookmarkStart w:id="27" w:name="_Toc247527642"/>
      <w:bookmarkStart w:id="28" w:name="_Toc247514041"/>
      <w:bookmarkStart w:id="29" w:name="_Toc480909780"/>
      <w:r>
        <w:rPr>
          <w:rFonts w:hint="eastAsia" w:ascii="宋体" w:hAnsi="宋体" w:cs="宋体"/>
          <w:sz w:val="36"/>
          <w:szCs w:val="28"/>
          <w:highlight w:val="none"/>
        </w:rPr>
        <w:t>1.6 文件的提供和</w:t>
      </w:r>
      <w:bookmarkEnd w:id="27"/>
      <w:bookmarkEnd w:id="28"/>
      <w:r>
        <w:rPr>
          <w:rFonts w:hint="eastAsia" w:ascii="宋体" w:hAnsi="宋体" w:cs="宋体"/>
          <w:sz w:val="36"/>
          <w:szCs w:val="28"/>
          <w:highlight w:val="none"/>
        </w:rPr>
        <w:t>照管</w:t>
      </w:r>
      <w:bookmarkEnd w:id="29"/>
    </w:p>
    <w:p w14:paraId="1B8896A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1.6.1 承包人文件的提供</w:t>
      </w:r>
    </w:p>
    <w:p w14:paraId="1A82CA4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专用合同条款另有约定外，承包人应在合理的期限内按照合同约定的数量向监理人提供承包人文件。合同约定承包人文件应批准的，监理人应当在合同约定的期限内批复。承包人的设计文件的提供和审查按第5.3款和第5.5款的约定执行。</w:t>
      </w:r>
    </w:p>
    <w:p w14:paraId="5B16E5D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1.6.2 发包人提供的文件</w:t>
      </w:r>
    </w:p>
    <w:p w14:paraId="6C04417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按专用合同条款约定由发包人提供的文件，包括前期工作相关文件、环境保护、气象水文、地质条件等，发包人应按约定的数量和期限交给承包人。由于发包人未按时提供文件造成工期延误的，按第11.3款约定执行。</w:t>
      </w:r>
    </w:p>
    <w:p w14:paraId="1D42EE5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1.6.3 文件错误的通知</w:t>
      </w:r>
    </w:p>
    <w:p w14:paraId="5B9E30E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任何一方发现了文件中存在的明显错误或疏忽，应及时通知另一方。</w:t>
      </w:r>
    </w:p>
    <w:p w14:paraId="1CD6B33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1.6.4 文件的照管</w:t>
      </w:r>
    </w:p>
    <w:p w14:paraId="1AE57E7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承包人应在现场保留一份合同、发包人要求中列出的所有文件、承包人文件、变更以及其它根据合同收发的往来信函。发包人有权在任何合理的时间查阅和使用上述所有文件。</w:t>
      </w:r>
      <w:bookmarkStart w:id="30" w:name="_Toc247514042"/>
      <w:bookmarkStart w:id="31" w:name="_Toc247527643"/>
    </w:p>
    <w:p w14:paraId="28FBD974">
      <w:pPr>
        <w:pStyle w:val="4"/>
        <w:spacing w:before="156" w:beforeLines="50"/>
        <w:rPr>
          <w:rFonts w:hint="eastAsia" w:ascii="宋体" w:hAnsi="宋体" w:cs="宋体"/>
          <w:sz w:val="36"/>
          <w:szCs w:val="28"/>
          <w:highlight w:val="none"/>
        </w:rPr>
      </w:pPr>
      <w:bookmarkStart w:id="32" w:name="_Toc480909781"/>
      <w:r>
        <w:rPr>
          <w:rFonts w:hint="eastAsia" w:ascii="宋体" w:hAnsi="宋体" w:cs="宋体"/>
          <w:sz w:val="36"/>
          <w:szCs w:val="28"/>
          <w:highlight w:val="none"/>
        </w:rPr>
        <w:t>1.7 联络</w:t>
      </w:r>
      <w:bookmarkEnd w:id="30"/>
      <w:bookmarkEnd w:id="31"/>
      <w:bookmarkEnd w:id="32"/>
    </w:p>
    <w:p w14:paraId="56FD411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1.7.1</w:t>
      </w:r>
      <w:r>
        <w:rPr>
          <w:rFonts w:hint="eastAsia" w:ascii="宋体" w:hAnsi="宋体" w:cs="宋体"/>
          <w:sz w:val="22"/>
          <w:highlight w:val="none"/>
        </w:rPr>
        <w:t xml:space="preserve"> 与合同有关的通知、批准、证明、证书、指示、要求、请求、同意、意见、确定和决定等，均应采用书面形式。</w:t>
      </w:r>
    </w:p>
    <w:p w14:paraId="335BA96E">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1.7.2</w:t>
      </w:r>
      <w:r>
        <w:rPr>
          <w:rFonts w:hint="eastAsia" w:ascii="宋体" w:hAnsi="宋体" w:cs="宋体"/>
          <w:sz w:val="22"/>
          <w:highlight w:val="none"/>
        </w:rPr>
        <w:t xml:space="preserve"> 第</w:t>
      </w:r>
      <w:r>
        <w:rPr>
          <w:rFonts w:hint="eastAsia" w:ascii="宋体" w:hAnsi="宋体" w:cs="宋体"/>
          <w:sz w:val="22"/>
          <w:szCs w:val="24"/>
          <w:highlight w:val="none"/>
        </w:rPr>
        <w:t xml:space="preserve">1.7.1 </w:t>
      </w:r>
      <w:r>
        <w:rPr>
          <w:rFonts w:hint="eastAsia" w:ascii="宋体" w:hAnsi="宋体" w:cs="宋体"/>
          <w:sz w:val="22"/>
          <w:highlight w:val="none"/>
        </w:rPr>
        <w:t>项中的通知、批准、证明、证书、指示、要求、请求、同意、意见、确定和决定等来往函件，均应在合同约定的期限内送达指定的地点和指定的接收人，并办理签收手续。</w:t>
      </w:r>
    </w:p>
    <w:p w14:paraId="29618CB0">
      <w:pPr>
        <w:pStyle w:val="4"/>
        <w:spacing w:before="156" w:beforeLines="50"/>
        <w:rPr>
          <w:rFonts w:hint="eastAsia" w:ascii="宋体" w:hAnsi="宋体" w:cs="宋体"/>
          <w:sz w:val="36"/>
          <w:szCs w:val="28"/>
          <w:highlight w:val="none"/>
        </w:rPr>
      </w:pPr>
      <w:bookmarkStart w:id="33" w:name="_Toc480909782"/>
      <w:bookmarkStart w:id="34" w:name="_Toc247527644"/>
      <w:bookmarkStart w:id="35" w:name="_Toc247514043"/>
      <w:r>
        <w:rPr>
          <w:rFonts w:hint="eastAsia" w:ascii="宋体" w:hAnsi="宋体" w:cs="宋体"/>
          <w:sz w:val="36"/>
          <w:szCs w:val="28"/>
          <w:highlight w:val="none"/>
        </w:rPr>
        <w:t>1.8 转让</w:t>
      </w:r>
      <w:bookmarkEnd w:id="33"/>
      <w:bookmarkEnd w:id="34"/>
      <w:bookmarkEnd w:id="35"/>
    </w:p>
    <w:p w14:paraId="4AB80EF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合同另有约定外，未经承包人同意，发包人不得将合同权利全部或部分转让给第三人，也不得全部或部分转让合同义务。承包人不得将合同权利和义务全部转让给第三人，也不得将合同的义务全部或部分转让给第三人，法律另有规定的除外。</w:t>
      </w:r>
    </w:p>
    <w:p w14:paraId="5CCEB06E">
      <w:pPr>
        <w:pStyle w:val="4"/>
        <w:spacing w:before="156" w:beforeLines="50"/>
        <w:rPr>
          <w:rFonts w:hint="eastAsia" w:ascii="宋体" w:hAnsi="宋体" w:cs="宋体"/>
          <w:sz w:val="36"/>
          <w:szCs w:val="28"/>
          <w:highlight w:val="none"/>
        </w:rPr>
      </w:pPr>
      <w:bookmarkStart w:id="36" w:name="_Toc247514044"/>
      <w:bookmarkStart w:id="37" w:name="_Toc247527645"/>
      <w:bookmarkStart w:id="38" w:name="_Toc480909783"/>
      <w:r>
        <w:rPr>
          <w:rFonts w:hint="eastAsia" w:ascii="宋体" w:hAnsi="宋体" w:cs="宋体"/>
          <w:sz w:val="36"/>
          <w:szCs w:val="28"/>
          <w:highlight w:val="none"/>
        </w:rPr>
        <w:t>1.9 严禁贿赂</w:t>
      </w:r>
      <w:bookmarkEnd w:id="36"/>
      <w:bookmarkEnd w:id="37"/>
      <w:bookmarkEnd w:id="38"/>
    </w:p>
    <w:p w14:paraId="21C706E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合同双方当事人不得以贿赂或变相贿赂的方式，谋取不当利益或损害对方权益。因贿赂造成对方损失的，行为人应赔偿损失，并承担相应的法律责任。</w:t>
      </w:r>
    </w:p>
    <w:p w14:paraId="509D4D4A">
      <w:pPr>
        <w:pStyle w:val="4"/>
        <w:spacing w:before="156" w:beforeLines="50"/>
        <w:rPr>
          <w:rFonts w:hint="eastAsia" w:ascii="宋体" w:hAnsi="宋体" w:cs="宋体"/>
          <w:sz w:val="36"/>
          <w:szCs w:val="28"/>
          <w:highlight w:val="none"/>
        </w:rPr>
      </w:pPr>
      <w:bookmarkStart w:id="39" w:name="_Toc480909784"/>
      <w:bookmarkStart w:id="40" w:name="_Toc247514045"/>
      <w:bookmarkStart w:id="41" w:name="_Toc247527646"/>
      <w:r>
        <w:rPr>
          <w:rFonts w:hint="eastAsia" w:ascii="宋体" w:hAnsi="宋体" w:cs="宋体"/>
          <w:sz w:val="36"/>
          <w:szCs w:val="28"/>
          <w:highlight w:val="none"/>
        </w:rPr>
        <w:t>1.10 化石、文物</w:t>
      </w:r>
      <w:bookmarkEnd w:id="39"/>
      <w:bookmarkEnd w:id="40"/>
      <w:bookmarkEnd w:id="41"/>
    </w:p>
    <w:p w14:paraId="6220067D">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1.10.1 </w:t>
      </w:r>
      <w:r>
        <w:rPr>
          <w:rFonts w:hint="eastAsia" w:ascii="宋体" w:hAnsi="宋体" w:cs="宋体"/>
          <w:sz w:val="22"/>
          <w:highlight w:val="none"/>
        </w:rPr>
        <w:t>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和发包人。发包人、监理人和承包人应按文物行政部门要求采取妥善保护措施，由此导致费用增加和（或）工期延误由发包人承担。</w:t>
      </w:r>
    </w:p>
    <w:p w14:paraId="2448499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1.10.2 </w:t>
      </w:r>
      <w:r>
        <w:rPr>
          <w:rFonts w:hint="eastAsia" w:ascii="宋体" w:hAnsi="宋体" w:cs="宋体"/>
          <w:sz w:val="22"/>
          <w:highlight w:val="none"/>
        </w:rPr>
        <w:t>承包人发现文物后不及时报告或隐瞒不报，致使文物丢失或损坏的，应赔偿损失，并承担相应的法律责任。</w:t>
      </w:r>
    </w:p>
    <w:p w14:paraId="614A98E3">
      <w:pPr>
        <w:pStyle w:val="4"/>
        <w:spacing w:before="156" w:beforeLines="50"/>
        <w:rPr>
          <w:rFonts w:hint="eastAsia" w:ascii="宋体" w:hAnsi="宋体" w:cs="宋体"/>
          <w:sz w:val="36"/>
          <w:szCs w:val="28"/>
          <w:highlight w:val="none"/>
        </w:rPr>
      </w:pPr>
      <w:bookmarkStart w:id="42" w:name="_Toc247527647"/>
      <w:bookmarkStart w:id="43" w:name="_Toc247514046"/>
      <w:bookmarkStart w:id="44" w:name="_Toc480909785"/>
      <w:r>
        <w:rPr>
          <w:rFonts w:hint="eastAsia" w:ascii="宋体" w:hAnsi="宋体" w:cs="宋体"/>
          <w:sz w:val="36"/>
          <w:szCs w:val="28"/>
          <w:highlight w:val="none"/>
        </w:rPr>
        <w:t xml:space="preserve">1.11 </w:t>
      </w:r>
      <w:bookmarkEnd w:id="42"/>
      <w:bookmarkEnd w:id="43"/>
      <w:r>
        <w:rPr>
          <w:rFonts w:hint="eastAsia" w:ascii="宋体" w:hAnsi="宋体" w:cs="宋体"/>
          <w:sz w:val="36"/>
          <w:szCs w:val="28"/>
          <w:highlight w:val="none"/>
        </w:rPr>
        <w:t>知识产权</w:t>
      </w:r>
      <w:bookmarkEnd w:id="44"/>
    </w:p>
    <w:p w14:paraId="13B85BE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1.11.1除专用合同条款另有约定外，</w:t>
      </w:r>
      <w:r>
        <w:rPr>
          <w:rFonts w:hint="eastAsia" w:ascii="宋体" w:hAnsi="宋体" w:cs="宋体"/>
          <w:sz w:val="22"/>
          <w:highlight w:val="none"/>
        </w:rPr>
        <w:t>承包人完成的设计工作成果和建造完成的建筑物，除署名权以外的著作权以及建筑物形象使用收益等其他知识产权均归发包人享有。</w:t>
      </w:r>
    </w:p>
    <w:p w14:paraId="54FD9A4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1.11.2 </w:t>
      </w:r>
      <w:r>
        <w:rPr>
          <w:rFonts w:hint="eastAsia" w:ascii="宋体" w:hAnsi="宋体" w:cs="宋体"/>
          <w:sz w:val="22"/>
          <w:highlight w:val="none"/>
        </w:rPr>
        <w:t>承包人在进行设计，以及使用任何材料、承包人设备、工程设备或采用施工工艺时，因侵犯专利权或其他知识产权所引起的责任，由承包人承担。</w:t>
      </w:r>
    </w:p>
    <w:p w14:paraId="6F5582CB">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 xml:space="preserve">1.11.3 </w:t>
      </w:r>
      <w:r>
        <w:rPr>
          <w:rFonts w:hint="eastAsia" w:ascii="宋体" w:hAnsi="宋体" w:cs="宋体"/>
          <w:sz w:val="22"/>
          <w:highlight w:val="none"/>
        </w:rPr>
        <w:t>承包人在投标文件中采用专利技术的，专利技术的使用费包含在投标报价内。</w:t>
      </w:r>
      <w:bookmarkStart w:id="45" w:name="_Toc247514047"/>
      <w:bookmarkStart w:id="46" w:name="_Toc247527648"/>
    </w:p>
    <w:p w14:paraId="2296E2A1">
      <w:pPr>
        <w:pStyle w:val="4"/>
        <w:spacing w:before="156" w:beforeLines="50"/>
        <w:rPr>
          <w:rFonts w:hint="eastAsia" w:ascii="宋体" w:hAnsi="宋体" w:cs="宋体"/>
          <w:sz w:val="36"/>
          <w:szCs w:val="28"/>
          <w:highlight w:val="none"/>
        </w:rPr>
      </w:pPr>
      <w:bookmarkStart w:id="47" w:name="_Toc480909786"/>
      <w:r>
        <w:rPr>
          <w:rFonts w:hint="eastAsia" w:ascii="宋体" w:hAnsi="宋体" w:cs="宋体"/>
          <w:sz w:val="36"/>
          <w:szCs w:val="28"/>
          <w:highlight w:val="none"/>
        </w:rPr>
        <w:t>1.12 文件及信息的保密</w:t>
      </w:r>
      <w:bookmarkEnd w:id="45"/>
      <w:bookmarkEnd w:id="46"/>
      <w:bookmarkEnd w:id="47"/>
    </w:p>
    <w:p w14:paraId="6C60BC3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未经对方同意，任何一方当事人不得将有关文件、技术秘密、需要保密的资料和信息泄露给他人或公开发表与引用。</w:t>
      </w:r>
    </w:p>
    <w:p w14:paraId="44EF1BCF">
      <w:pPr>
        <w:pStyle w:val="4"/>
        <w:spacing w:before="156" w:beforeLines="50"/>
        <w:rPr>
          <w:rFonts w:hint="eastAsia" w:ascii="宋体" w:hAnsi="宋体" w:cs="宋体"/>
          <w:sz w:val="36"/>
          <w:szCs w:val="28"/>
          <w:highlight w:val="none"/>
        </w:rPr>
      </w:pPr>
      <w:bookmarkStart w:id="48" w:name="_Toc480909787"/>
      <w:r>
        <w:rPr>
          <w:rFonts w:hint="eastAsia" w:ascii="宋体" w:hAnsi="宋体" w:cs="宋体"/>
          <w:sz w:val="36"/>
          <w:szCs w:val="28"/>
          <w:highlight w:val="none"/>
        </w:rPr>
        <w:t>1.13 发包人要求中的错误</w:t>
      </w:r>
      <w:bookmarkEnd w:id="48"/>
    </w:p>
    <w:p w14:paraId="2BDBDAE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1.13.1 承包人应认真阅读、复核发包人要求，发现错误的，应及时书面通知发包人。发包人作相应修改的，按照第15条约定处理。对确实存在的错误，发包人坚持不作修改的，应承担由此导致承包人增加的费用和(或)延误的工期。</w:t>
      </w:r>
    </w:p>
    <w:p w14:paraId="6775206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1.13.2 承包人未发现发包人要求中存在错误的，承包人自行承担由此导致的费用增加和(或) 工期延误，但专用合同条款另有约定的除外。</w:t>
      </w:r>
    </w:p>
    <w:p w14:paraId="5AA809C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1.13.3 无论承包人发现与否，在任何情况下，发包人要求中的下列错误导致承包人增加的费用和(或)延误的工期，由发包人承担，并向承包人支付合理利润。</w:t>
      </w:r>
    </w:p>
    <w:p w14:paraId="1D7AECC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（1）发包人要求中引用的原始数据和资料；</w:t>
      </w:r>
    </w:p>
    <w:p w14:paraId="4E67362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（2）对工程或其任何部分的功能要求；</w:t>
      </w:r>
    </w:p>
    <w:p w14:paraId="50BDB68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（3）对工程的工艺安排或要求；</w:t>
      </w:r>
    </w:p>
    <w:p w14:paraId="3314E94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（4）试验和检验标准；</w:t>
      </w:r>
    </w:p>
    <w:p w14:paraId="00B6293A">
      <w:pPr>
        <w:spacing w:line="360" w:lineRule="auto"/>
        <w:ind w:firstLine="420"/>
        <w:rPr>
          <w:rFonts w:hint="eastAsia" w:ascii="宋体" w:hAnsi="宋体" w:cs="宋体"/>
          <w:sz w:val="22"/>
          <w:szCs w:val="24"/>
          <w:highlight w:val="none"/>
        </w:rPr>
      </w:pPr>
      <w:r>
        <w:rPr>
          <w:rFonts w:hint="eastAsia" w:ascii="宋体" w:hAnsi="宋体" w:cs="宋体"/>
          <w:sz w:val="22"/>
          <w:highlight w:val="none"/>
        </w:rPr>
        <w:t>（5）除合同另有约定外，承包人无法核实的数据和资料。</w:t>
      </w:r>
    </w:p>
    <w:p w14:paraId="29DD3595">
      <w:pPr>
        <w:pStyle w:val="4"/>
        <w:spacing w:before="156" w:beforeLines="50"/>
        <w:rPr>
          <w:rFonts w:hint="eastAsia" w:ascii="宋体" w:hAnsi="宋体" w:cs="宋体"/>
          <w:sz w:val="36"/>
          <w:szCs w:val="28"/>
          <w:highlight w:val="none"/>
        </w:rPr>
      </w:pPr>
      <w:bookmarkStart w:id="49" w:name="_Toc480909788"/>
      <w:r>
        <w:rPr>
          <w:rFonts w:hint="eastAsia" w:ascii="宋体" w:hAnsi="宋体" w:cs="宋体"/>
          <w:sz w:val="36"/>
          <w:szCs w:val="28"/>
          <w:highlight w:val="none"/>
        </w:rPr>
        <w:t>1.14 发包人要求违法</w:t>
      </w:r>
      <w:bookmarkEnd w:id="49"/>
    </w:p>
    <w:p w14:paraId="39078E8F">
      <w:pPr>
        <w:spacing w:line="360" w:lineRule="auto"/>
        <w:ind w:firstLine="420"/>
        <w:rPr>
          <w:rFonts w:hint="eastAsia" w:ascii="宋体" w:hAnsi="宋体" w:cs="宋体"/>
          <w:sz w:val="22"/>
          <w:highlight w:val="none"/>
        </w:rPr>
      </w:pPr>
      <w:r>
        <w:rPr>
          <w:rFonts w:hint="eastAsia" w:ascii="宋体" w:hAnsi="宋体" w:cs="宋体"/>
          <w:sz w:val="22"/>
          <w:highlight w:val="none"/>
        </w:rPr>
        <w:t>发包人要求违反法律规定的，</w:t>
      </w:r>
      <w:r>
        <w:rPr>
          <w:rFonts w:hint="eastAsia" w:ascii="宋体" w:hAnsi="宋体" w:cs="宋体"/>
          <w:sz w:val="22"/>
          <w:szCs w:val="24"/>
          <w:highlight w:val="none"/>
        </w:rPr>
        <w:t>承包人发现后应书面通知发包人，并要求其改正。发包人收到通知书后不予改正或不予答复的，承包人有权拒绝履行合同义务，直至解除合同。发包人应</w:t>
      </w:r>
      <w:r>
        <w:rPr>
          <w:rFonts w:hint="eastAsia" w:ascii="宋体" w:hAnsi="宋体" w:cs="宋体"/>
          <w:sz w:val="22"/>
          <w:highlight w:val="none"/>
        </w:rPr>
        <w:t>承担由此引起的承包人全部损失。</w:t>
      </w:r>
    </w:p>
    <w:p w14:paraId="6ADB8482">
      <w:pPr>
        <w:pStyle w:val="3"/>
        <w:spacing w:before="156" w:beforeLines="50" w:after="0" w:line="360" w:lineRule="auto"/>
        <w:rPr>
          <w:rFonts w:hint="eastAsia" w:ascii="宋体" w:hAnsi="宋体" w:cs="宋体"/>
          <w:b w:val="0"/>
          <w:highlight w:val="none"/>
        </w:rPr>
      </w:pPr>
      <w:bookmarkStart w:id="50" w:name="_Toc247514049"/>
      <w:bookmarkStart w:id="51" w:name="_Toc480909789"/>
      <w:bookmarkStart w:id="52" w:name="_Toc184635099"/>
      <w:bookmarkStart w:id="53" w:name="_Toc247527650"/>
      <w:r>
        <w:rPr>
          <w:rFonts w:hint="eastAsia" w:ascii="宋体" w:hAnsi="宋体" w:cs="宋体"/>
          <w:b w:val="0"/>
          <w:highlight w:val="none"/>
        </w:rPr>
        <w:t>2．发包人义务</w:t>
      </w:r>
      <w:bookmarkEnd w:id="50"/>
      <w:bookmarkEnd w:id="51"/>
      <w:bookmarkEnd w:id="52"/>
      <w:bookmarkEnd w:id="53"/>
    </w:p>
    <w:p w14:paraId="6CE5A6DA">
      <w:pPr>
        <w:pStyle w:val="4"/>
        <w:spacing w:before="156" w:beforeLines="50"/>
        <w:rPr>
          <w:rFonts w:hint="eastAsia" w:ascii="宋体" w:hAnsi="宋体" w:cs="宋体"/>
          <w:sz w:val="36"/>
          <w:szCs w:val="28"/>
          <w:highlight w:val="none"/>
        </w:rPr>
      </w:pPr>
      <w:bookmarkStart w:id="54" w:name="_Toc480909790"/>
      <w:bookmarkStart w:id="55" w:name="_Toc247514050"/>
      <w:bookmarkStart w:id="56" w:name="_Toc247527651"/>
      <w:r>
        <w:rPr>
          <w:rFonts w:hint="eastAsia" w:ascii="宋体" w:hAnsi="宋体" w:cs="宋体"/>
          <w:sz w:val="36"/>
          <w:szCs w:val="28"/>
          <w:highlight w:val="none"/>
        </w:rPr>
        <w:t>2.1 遵守法律</w:t>
      </w:r>
      <w:bookmarkEnd w:id="54"/>
      <w:bookmarkEnd w:id="55"/>
      <w:bookmarkEnd w:id="56"/>
    </w:p>
    <w:p w14:paraId="6D35510C">
      <w:pPr>
        <w:spacing w:line="360" w:lineRule="auto"/>
        <w:ind w:firstLine="440" w:firstLineChars="200"/>
        <w:rPr>
          <w:rFonts w:hint="eastAsia" w:ascii="宋体" w:hAnsi="宋体" w:cs="宋体"/>
          <w:sz w:val="22"/>
          <w:szCs w:val="24"/>
          <w:highlight w:val="none"/>
        </w:rPr>
      </w:pPr>
      <w:r>
        <w:rPr>
          <w:rFonts w:hint="eastAsia" w:ascii="宋体" w:hAnsi="宋体" w:cs="宋体"/>
          <w:sz w:val="22"/>
          <w:highlight w:val="none"/>
        </w:rPr>
        <w:t>发包人在履行合同过程中应遵守法律，并保证承包人免于承担因发包人违反法律而引起的任何责任。</w:t>
      </w:r>
    </w:p>
    <w:p w14:paraId="294D688B">
      <w:pPr>
        <w:pStyle w:val="4"/>
        <w:spacing w:before="156" w:beforeLines="50"/>
        <w:rPr>
          <w:rFonts w:hint="eastAsia" w:ascii="宋体" w:hAnsi="宋体" w:cs="宋体"/>
          <w:sz w:val="36"/>
          <w:szCs w:val="28"/>
          <w:highlight w:val="none"/>
        </w:rPr>
      </w:pPr>
      <w:bookmarkStart w:id="57" w:name="_Toc247514051"/>
      <w:bookmarkStart w:id="58" w:name="_Toc480909791"/>
      <w:bookmarkStart w:id="59" w:name="_Toc247527652"/>
      <w:r>
        <w:rPr>
          <w:rFonts w:hint="eastAsia" w:ascii="宋体" w:hAnsi="宋体" w:cs="宋体"/>
          <w:sz w:val="36"/>
          <w:szCs w:val="28"/>
          <w:highlight w:val="none"/>
        </w:rPr>
        <w:t>2.2 发出承包人开始工作通知</w:t>
      </w:r>
      <w:bookmarkEnd w:id="57"/>
      <w:bookmarkEnd w:id="58"/>
      <w:bookmarkEnd w:id="59"/>
    </w:p>
    <w:p w14:paraId="3EC61EB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发包人应委托监理人按第11.1 款的约定向承包人发出开始工作通知。</w:t>
      </w:r>
    </w:p>
    <w:p w14:paraId="4527871F">
      <w:pPr>
        <w:pStyle w:val="4"/>
        <w:spacing w:before="156" w:beforeLines="50"/>
        <w:rPr>
          <w:rFonts w:hint="eastAsia" w:ascii="宋体" w:hAnsi="宋体" w:cs="宋体"/>
          <w:sz w:val="36"/>
          <w:szCs w:val="28"/>
          <w:highlight w:val="none"/>
        </w:rPr>
      </w:pPr>
      <w:bookmarkStart w:id="60" w:name="_Toc247527653"/>
      <w:bookmarkStart w:id="61" w:name="_Toc247514052"/>
      <w:bookmarkStart w:id="62" w:name="_Toc480909792"/>
      <w:r>
        <w:rPr>
          <w:rFonts w:hint="eastAsia" w:ascii="宋体" w:hAnsi="宋体" w:cs="宋体"/>
          <w:sz w:val="36"/>
          <w:szCs w:val="28"/>
          <w:highlight w:val="none"/>
        </w:rPr>
        <w:t>2.3 提供施工场地</w:t>
      </w:r>
      <w:bookmarkEnd w:id="60"/>
      <w:bookmarkEnd w:id="61"/>
      <w:bookmarkEnd w:id="62"/>
    </w:p>
    <w:p w14:paraId="4D69B33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发包人应按专用合同条款约定向承包人提供施工场地及进场施工条件，并明确与承包人的交接界面。</w:t>
      </w:r>
    </w:p>
    <w:p w14:paraId="47A843B9">
      <w:pPr>
        <w:pStyle w:val="4"/>
        <w:spacing w:before="156" w:beforeLines="50"/>
        <w:rPr>
          <w:rFonts w:hint="eastAsia" w:ascii="宋体" w:hAnsi="宋体" w:cs="宋体"/>
          <w:sz w:val="36"/>
          <w:szCs w:val="28"/>
          <w:highlight w:val="none"/>
        </w:rPr>
      </w:pPr>
      <w:bookmarkStart w:id="63" w:name="_Toc247514053"/>
      <w:bookmarkStart w:id="64" w:name="_Toc480909793"/>
      <w:bookmarkStart w:id="65" w:name="_Toc247527654"/>
      <w:r>
        <w:rPr>
          <w:rFonts w:hint="eastAsia" w:ascii="宋体" w:hAnsi="宋体" w:cs="宋体"/>
          <w:sz w:val="36"/>
          <w:szCs w:val="28"/>
          <w:highlight w:val="none"/>
        </w:rPr>
        <w:t>2.4 办理证件和批件</w:t>
      </w:r>
      <w:bookmarkEnd w:id="63"/>
      <w:bookmarkEnd w:id="64"/>
      <w:bookmarkEnd w:id="65"/>
    </w:p>
    <w:p w14:paraId="57849B8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法律规定和（或）合同约定由发包人负责办理的工程建设项目必须履行的各类审批、核准或备案手续，发包人应按时办理。</w:t>
      </w:r>
    </w:p>
    <w:p w14:paraId="5A5FD92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法律规定和（或）合同约定由承包人负责的有关设计、施工证件和批件，发包人应给予必要的协助。</w:t>
      </w:r>
    </w:p>
    <w:p w14:paraId="541356BC">
      <w:pPr>
        <w:pStyle w:val="4"/>
        <w:spacing w:before="156" w:beforeLines="50"/>
        <w:rPr>
          <w:rFonts w:hint="eastAsia" w:ascii="宋体" w:hAnsi="宋体" w:cs="宋体"/>
          <w:sz w:val="36"/>
          <w:szCs w:val="28"/>
          <w:highlight w:val="none"/>
        </w:rPr>
      </w:pPr>
      <w:bookmarkStart w:id="66" w:name="_Toc247527655"/>
      <w:bookmarkStart w:id="67" w:name="_Toc247514054"/>
      <w:bookmarkStart w:id="68" w:name="_Toc480909794"/>
      <w:r>
        <w:rPr>
          <w:rFonts w:hint="eastAsia" w:ascii="宋体" w:hAnsi="宋体" w:cs="宋体"/>
          <w:sz w:val="36"/>
          <w:szCs w:val="28"/>
          <w:highlight w:val="none"/>
        </w:rPr>
        <w:t>2.5</w:t>
      </w:r>
      <w:bookmarkEnd w:id="66"/>
      <w:bookmarkEnd w:id="67"/>
      <w:bookmarkStart w:id="69" w:name="_Toc247527656"/>
      <w:bookmarkStart w:id="70" w:name="_Toc247514055"/>
      <w:r>
        <w:rPr>
          <w:rFonts w:hint="eastAsia" w:ascii="宋体" w:hAnsi="宋体" w:cs="宋体"/>
          <w:sz w:val="36"/>
          <w:szCs w:val="28"/>
          <w:highlight w:val="none"/>
        </w:rPr>
        <w:t xml:space="preserve"> 支付合同价款</w:t>
      </w:r>
      <w:bookmarkEnd w:id="68"/>
      <w:bookmarkEnd w:id="69"/>
      <w:bookmarkEnd w:id="70"/>
    </w:p>
    <w:p w14:paraId="1FD56DF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发包人应按合同约定向承包人及时支付合同价款。专用合同条款对发包人工程款支付担保有约定的，从其约定。</w:t>
      </w:r>
    </w:p>
    <w:p w14:paraId="1C10F5B3">
      <w:pPr>
        <w:pStyle w:val="4"/>
        <w:spacing w:before="156" w:beforeLines="50"/>
        <w:rPr>
          <w:rFonts w:hint="eastAsia" w:ascii="宋体" w:hAnsi="宋体" w:cs="宋体"/>
          <w:sz w:val="36"/>
          <w:szCs w:val="28"/>
          <w:highlight w:val="none"/>
        </w:rPr>
      </w:pPr>
      <w:bookmarkStart w:id="71" w:name="_Toc247514056"/>
      <w:bookmarkStart w:id="72" w:name="_Toc247527657"/>
      <w:bookmarkStart w:id="73" w:name="_Toc480909795"/>
      <w:r>
        <w:rPr>
          <w:rFonts w:hint="eastAsia" w:ascii="宋体" w:hAnsi="宋体" w:cs="宋体"/>
          <w:sz w:val="36"/>
          <w:szCs w:val="28"/>
          <w:highlight w:val="none"/>
        </w:rPr>
        <w:t>2.6 组织竣工验收</w:t>
      </w:r>
      <w:bookmarkEnd w:id="71"/>
      <w:bookmarkEnd w:id="72"/>
      <w:bookmarkEnd w:id="73"/>
    </w:p>
    <w:p w14:paraId="5185744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发包人应按合同约定及时组织竣工验收。</w:t>
      </w:r>
    </w:p>
    <w:p w14:paraId="4EF1EE06">
      <w:pPr>
        <w:pStyle w:val="4"/>
        <w:spacing w:before="156" w:beforeLines="50"/>
        <w:rPr>
          <w:rFonts w:hint="eastAsia" w:ascii="宋体" w:hAnsi="宋体" w:cs="宋体"/>
          <w:sz w:val="36"/>
          <w:szCs w:val="28"/>
          <w:highlight w:val="none"/>
        </w:rPr>
      </w:pPr>
      <w:bookmarkStart w:id="74" w:name="_Toc247527658"/>
      <w:bookmarkStart w:id="75" w:name="_Toc480909796"/>
      <w:bookmarkStart w:id="76" w:name="_Toc247514057"/>
      <w:r>
        <w:rPr>
          <w:rFonts w:hint="eastAsia" w:ascii="宋体" w:hAnsi="宋体" w:cs="宋体"/>
          <w:sz w:val="36"/>
          <w:szCs w:val="28"/>
          <w:highlight w:val="none"/>
        </w:rPr>
        <w:t>2.7 其他义务</w:t>
      </w:r>
      <w:bookmarkEnd w:id="74"/>
      <w:bookmarkEnd w:id="75"/>
      <w:bookmarkEnd w:id="76"/>
    </w:p>
    <w:p w14:paraId="2228B21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发包人应履行合同约定的其他义务。</w:t>
      </w:r>
    </w:p>
    <w:p w14:paraId="3586BB10">
      <w:pPr>
        <w:pStyle w:val="3"/>
        <w:spacing w:before="156" w:beforeLines="50" w:after="0" w:line="360" w:lineRule="auto"/>
        <w:rPr>
          <w:rFonts w:hint="eastAsia" w:ascii="宋体" w:hAnsi="宋体" w:cs="宋体"/>
          <w:b w:val="0"/>
          <w:highlight w:val="none"/>
        </w:rPr>
      </w:pPr>
      <w:bookmarkStart w:id="77" w:name="_Toc247514058"/>
      <w:bookmarkStart w:id="78" w:name="_Toc184635100"/>
      <w:bookmarkStart w:id="79" w:name="_Toc480909797"/>
      <w:bookmarkStart w:id="80" w:name="_Toc247527659"/>
      <w:r>
        <w:rPr>
          <w:rFonts w:hint="eastAsia" w:ascii="宋体" w:hAnsi="宋体" w:cs="宋体"/>
          <w:b w:val="0"/>
          <w:highlight w:val="none"/>
        </w:rPr>
        <w:t>3. 监理人</w:t>
      </w:r>
      <w:bookmarkEnd w:id="77"/>
      <w:bookmarkEnd w:id="78"/>
      <w:bookmarkEnd w:id="79"/>
      <w:bookmarkEnd w:id="80"/>
    </w:p>
    <w:p w14:paraId="4B5CC947">
      <w:pPr>
        <w:pStyle w:val="4"/>
        <w:spacing w:before="156" w:beforeLines="50"/>
        <w:rPr>
          <w:rFonts w:hint="eastAsia" w:ascii="宋体" w:hAnsi="宋体" w:cs="宋体"/>
          <w:sz w:val="36"/>
          <w:szCs w:val="28"/>
          <w:highlight w:val="none"/>
        </w:rPr>
      </w:pPr>
      <w:bookmarkStart w:id="81" w:name="_Toc480909798"/>
      <w:bookmarkStart w:id="82" w:name="_Toc247514059"/>
      <w:bookmarkStart w:id="83" w:name="_Toc247527660"/>
      <w:r>
        <w:rPr>
          <w:rFonts w:hint="eastAsia" w:ascii="宋体" w:hAnsi="宋体" w:cs="宋体"/>
          <w:sz w:val="36"/>
          <w:szCs w:val="28"/>
          <w:highlight w:val="none"/>
        </w:rPr>
        <w:t>3.1 监理人的职责和权力</w:t>
      </w:r>
      <w:bookmarkEnd w:id="81"/>
      <w:bookmarkEnd w:id="82"/>
      <w:bookmarkEnd w:id="83"/>
    </w:p>
    <w:p w14:paraId="4A5939D8">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3.1.1 </w:t>
      </w:r>
      <w:r>
        <w:rPr>
          <w:rFonts w:hint="eastAsia" w:ascii="宋体" w:hAnsi="宋体" w:cs="宋体"/>
          <w:sz w:val="22"/>
          <w:highlight w:val="none"/>
        </w:rPr>
        <w:t>监理人受发包人委托，享有合同约定的权力，其所发出的任何指示应视为已得到发包人的批准。监理人在行使某项权力前需要经发包人事先批准而通用合同条款没有指明的，应在专用合同条款中指明。未经发包人批准，监理人无权修改合同。</w:t>
      </w:r>
    </w:p>
    <w:p w14:paraId="5C05732D">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3.1.2 </w:t>
      </w:r>
      <w:r>
        <w:rPr>
          <w:rFonts w:hint="eastAsia" w:ascii="宋体" w:hAnsi="宋体" w:cs="宋体"/>
          <w:sz w:val="22"/>
          <w:highlight w:val="none"/>
        </w:rPr>
        <w:t>合同约定应由承包人承担的义务和责任，不因监理人对承包人文件的审查或批准，对工程、材料和工程设备的检查和检验，以及为实施监理作出的指示等职务行为而减轻或解除。</w:t>
      </w:r>
    </w:p>
    <w:p w14:paraId="029286DA">
      <w:pPr>
        <w:pStyle w:val="4"/>
        <w:spacing w:before="156" w:beforeLines="50"/>
        <w:rPr>
          <w:rFonts w:hint="eastAsia" w:ascii="宋体" w:hAnsi="宋体" w:cs="宋体"/>
          <w:sz w:val="36"/>
          <w:szCs w:val="28"/>
          <w:highlight w:val="none"/>
        </w:rPr>
      </w:pPr>
      <w:bookmarkStart w:id="84" w:name="_Toc247527661"/>
      <w:bookmarkStart w:id="85" w:name="_Toc247514060"/>
      <w:bookmarkStart w:id="86" w:name="_Toc480909799"/>
      <w:r>
        <w:rPr>
          <w:rFonts w:hint="eastAsia" w:ascii="宋体" w:hAnsi="宋体" w:cs="宋体"/>
          <w:sz w:val="36"/>
          <w:szCs w:val="28"/>
          <w:highlight w:val="none"/>
        </w:rPr>
        <w:t>3.2 总监理工程师</w:t>
      </w:r>
      <w:bookmarkEnd w:id="84"/>
      <w:bookmarkEnd w:id="85"/>
      <w:bookmarkEnd w:id="86"/>
    </w:p>
    <w:p w14:paraId="5DA1A75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发包人应在发出开始工作通知前将总监理工程师的任命通知承包人。总监理工程师更换时，应提前14 天通知承包人。总监理工程师超过</w:t>
      </w:r>
      <w:r>
        <w:rPr>
          <w:rFonts w:hint="eastAsia" w:ascii="宋体" w:hAnsi="宋体" w:cs="宋体"/>
          <w:sz w:val="22"/>
          <w:szCs w:val="24"/>
          <w:highlight w:val="none"/>
        </w:rPr>
        <w:t>２</w:t>
      </w:r>
      <w:r>
        <w:rPr>
          <w:rFonts w:hint="eastAsia" w:ascii="宋体" w:hAnsi="宋体" w:cs="宋体"/>
          <w:sz w:val="22"/>
          <w:highlight w:val="none"/>
        </w:rPr>
        <w:t>天不能履行职责的，应委派代表代行其职责，并通知承包人。</w:t>
      </w:r>
    </w:p>
    <w:p w14:paraId="6A3480C4">
      <w:pPr>
        <w:pStyle w:val="4"/>
        <w:spacing w:before="156" w:beforeLines="50"/>
        <w:rPr>
          <w:rFonts w:hint="eastAsia" w:ascii="宋体" w:hAnsi="宋体" w:cs="宋体"/>
          <w:sz w:val="36"/>
          <w:szCs w:val="28"/>
          <w:highlight w:val="none"/>
        </w:rPr>
      </w:pPr>
      <w:bookmarkStart w:id="87" w:name="_Toc247527662"/>
      <w:bookmarkStart w:id="88" w:name="_Toc480909800"/>
      <w:bookmarkStart w:id="89" w:name="_Toc247514061"/>
      <w:r>
        <w:rPr>
          <w:rFonts w:hint="eastAsia" w:ascii="宋体" w:hAnsi="宋体" w:cs="宋体"/>
          <w:sz w:val="36"/>
          <w:szCs w:val="28"/>
          <w:highlight w:val="none"/>
        </w:rPr>
        <w:t>3.3 监理人员</w:t>
      </w:r>
      <w:bookmarkEnd w:id="87"/>
      <w:bookmarkEnd w:id="88"/>
      <w:bookmarkEnd w:id="89"/>
    </w:p>
    <w:p w14:paraId="6D30553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发包人和承包人。</w:t>
      </w:r>
    </w:p>
    <w:p w14:paraId="1ADD4DD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3.3.2 总监理工程师授权的监理人员对承包人文件、工程或其采用的材料和工程设备未在约定的或合理的期限内提出否定意见的，视为已获批准，但不影响监理人在以后拒绝该项工作、工程、材料或工程设备的权利，监理人的拒绝应当符合法律规定和合同约定。</w:t>
      </w:r>
    </w:p>
    <w:p w14:paraId="056C402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3.3.3 承包人对总监理工程师授权的监理人员发出的指示有疑问的，可在该指示发出的48小时内向总监理工程师提出书面异议，总监理工程师应在48小时内对该指示予以确认、更改或撤销。</w:t>
      </w:r>
    </w:p>
    <w:p w14:paraId="017ABF3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3.3.4 除专用合同条款另有约定外，总监理工程师不应将第3.5 款约定应由总监理工程师作出确定的权力授权或委托给其他监理人员。</w:t>
      </w:r>
    </w:p>
    <w:p w14:paraId="67361033">
      <w:pPr>
        <w:pStyle w:val="4"/>
        <w:spacing w:before="156" w:beforeLines="50"/>
        <w:rPr>
          <w:rFonts w:hint="eastAsia" w:ascii="宋体" w:hAnsi="宋体" w:cs="宋体"/>
          <w:sz w:val="36"/>
          <w:szCs w:val="28"/>
          <w:highlight w:val="none"/>
        </w:rPr>
      </w:pPr>
      <w:bookmarkStart w:id="90" w:name="_Toc247514062"/>
      <w:bookmarkStart w:id="91" w:name="_Toc247527663"/>
      <w:bookmarkStart w:id="92" w:name="_Toc480909801"/>
      <w:r>
        <w:rPr>
          <w:rFonts w:hint="eastAsia" w:ascii="宋体" w:hAnsi="宋体" w:cs="宋体"/>
          <w:sz w:val="36"/>
          <w:szCs w:val="28"/>
          <w:highlight w:val="none"/>
        </w:rPr>
        <w:t>3.4 监理人的指示</w:t>
      </w:r>
      <w:bookmarkEnd w:id="90"/>
      <w:bookmarkEnd w:id="91"/>
      <w:bookmarkEnd w:id="92"/>
    </w:p>
    <w:p w14:paraId="5699AD7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3.4.1 监理人应按第3.1 款的约定向承包人发出指示，监理人的指示应盖有监理人授权的项目管理机构章，并由总监理工程师或总监理工程师约定授权的监理人员签字。</w:t>
      </w:r>
    </w:p>
    <w:p w14:paraId="1AE86EF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3.4.2 承包人收到监理人作出的指示后应遵照执行。指示构成变更的，应按第15条执行。</w:t>
      </w:r>
    </w:p>
    <w:p w14:paraId="4E68786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3.4.3 在紧急情况下，总监理工程师或其授权的监理人员可以当场签发临时书面指示，承包人应遵照执行。监理应在临时书面指示发出后24小时内发出书面确认函，监理人在24小时内未发出书面确认函的，该临时书面指示应被视为监理人的正式指示。</w:t>
      </w:r>
    </w:p>
    <w:p w14:paraId="7BA8F2E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3.4.4 除合同另有约定外，承包人只从总监理工程师或按第3.3.1项被授权的监理人员处取得指示。</w:t>
      </w:r>
    </w:p>
    <w:p w14:paraId="2FBA9E76">
      <w:pPr>
        <w:spacing w:line="360" w:lineRule="auto"/>
        <w:ind w:firstLine="420"/>
        <w:rPr>
          <w:rFonts w:hint="eastAsia" w:ascii="宋体" w:hAnsi="宋体" w:cs="宋体"/>
          <w:sz w:val="22"/>
          <w:highlight w:val="none"/>
        </w:rPr>
      </w:pPr>
      <w:r>
        <w:rPr>
          <w:rFonts w:hint="eastAsia" w:ascii="宋体" w:hAnsi="宋体" w:cs="宋体"/>
          <w:sz w:val="22"/>
          <w:highlight w:val="none"/>
        </w:rPr>
        <w:t>3.4.5 由于监理人未能按合同约定发出指示、指示延误或指示错误而导致承包人费用增加和（或）工期延误的，发包人应承担由此增加的费用和（或）工期延误，并向承包人支付合理利润。</w:t>
      </w:r>
    </w:p>
    <w:p w14:paraId="2B7A9E3D">
      <w:pPr>
        <w:pStyle w:val="4"/>
        <w:spacing w:before="156" w:beforeLines="50"/>
        <w:rPr>
          <w:rFonts w:hint="eastAsia" w:ascii="宋体" w:hAnsi="宋体" w:cs="宋体"/>
          <w:sz w:val="36"/>
          <w:szCs w:val="28"/>
          <w:highlight w:val="none"/>
        </w:rPr>
      </w:pPr>
      <w:bookmarkStart w:id="93" w:name="_Toc480909802"/>
      <w:bookmarkStart w:id="94" w:name="_Toc247514063"/>
      <w:bookmarkStart w:id="95" w:name="_Toc247527664"/>
      <w:r>
        <w:rPr>
          <w:rFonts w:hint="eastAsia" w:ascii="宋体" w:hAnsi="宋体" w:cs="宋体"/>
          <w:sz w:val="36"/>
          <w:szCs w:val="28"/>
          <w:highlight w:val="none"/>
        </w:rPr>
        <w:t>3.5 商定或确定</w:t>
      </w:r>
      <w:bookmarkEnd w:id="93"/>
      <w:bookmarkEnd w:id="94"/>
      <w:bookmarkEnd w:id="95"/>
    </w:p>
    <w:p w14:paraId="4639FCA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3.5.1 合同约定总监理工程师应按照本款对任何事项进行商定或确定时，总监理工程师应与合同当事人协商，尽量达成一致。不能达成一致的，总监理工程师应认真研究后审慎确定。</w:t>
      </w:r>
    </w:p>
    <w:p w14:paraId="7B3847F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3.5.2 总监理工程师应将商定或确定的事项通知合同当事人，并附详细依据。对总监理工程师的确定有异议的，构成争议，按照第24 条的约定处理。在争议解决前，双方应暂按总监理工程师的确定执行，按照第24 条的约定对总监理工程师的确定作出修改的，按修改后的结果执行，由此导致承包人增加的费用和（或）延误的工期由发包人承担。</w:t>
      </w:r>
    </w:p>
    <w:p w14:paraId="400CEBA3">
      <w:pPr>
        <w:pStyle w:val="3"/>
        <w:spacing w:before="156" w:beforeLines="50" w:after="0" w:line="360" w:lineRule="auto"/>
        <w:rPr>
          <w:rFonts w:hint="eastAsia" w:ascii="宋体" w:hAnsi="宋体" w:cs="宋体"/>
          <w:b w:val="0"/>
          <w:highlight w:val="none"/>
        </w:rPr>
      </w:pPr>
      <w:bookmarkStart w:id="96" w:name="_Toc184635101"/>
      <w:bookmarkStart w:id="97" w:name="_Toc247527665"/>
      <w:bookmarkStart w:id="98" w:name="_Toc247514064"/>
      <w:bookmarkStart w:id="99" w:name="_Toc480909803"/>
      <w:r>
        <w:rPr>
          <w:rFonts w:hint="eastAsia" w:ascii="宋体" w:hAnsi="宋体" w:cs="宋体"/>
          <w:b w:val="0"/>
          <w:highlight w:val="none"/>
        </w:rPr>
        <w:t>4. 承包人</w:t>
      </w:r>
      <w:bookmarkEnd w:id="96"/>
      <w:bookmarkEnd w:id="97"/>
      <w:bookmarkEnd w:id="98"/>
      <w:bookmarkEnd w:id="99"/>
    </w:p>
    <w:p w14:paraId="58ECEFC9">
      <w:pPr>
        <w:pStyle w:val="4"/>
        <w:spacing w:before="156" w:beforeLines="50"/>
        <w:rPr>
          <w:rFonts w:hint="eastAsia" w:ascii="宋体" w:hAnsi="宋体" w:cs="宋体"/>
          <w:sz w:val="36"/>
          <w:szCs w:val="28"/>
          <w:highlight w:val="none"/>
        </w:rPr>
      </w:pPr>
      <w:bookmarkStart w:id="100" w:name="_Toc247514065"/>
      <w:bookmarkStart w:id="101" w:name="_Toc247527666"/>
      <w:bookmarkStart w:id="102" w:name="_Toc480909804"/>
      <w:r>
        <w:rPr>
          <w:rFonts w:hint="eastAsia" w:ascii="宋体" w:hAnsi="宋体" w:cs="宋体"/>
          <w:sz w:val="36"/>
          <w:szCs w:val="28"/>
          <w:highlight w:val="none"/>
        </w:rPr>
        <w:t>4.1 承包人的一般义务</w:t>
      </w:r>
      <w:bookmarkEnd w:id="100"/>
      <w:bookmarkEnd w:id="101"/>
      <w:bookmarkEnd w:id="102"/>
    </w:p>
    <w:p w14:paraId="21AC648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4.1.1 遵守法律</w:t>
      </w:r>
    </w:p>
    <w:p w14:paraId="24532FE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承包人在履行合同过程中应遵守法律，并保证发包人免于承担因承包人违反法律而引起的任何责任。</w:t>
      </w:r>
    </w:p>
    <w:p w14:paraId="61B3DB8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4.1.2 依法纳税</w:t>
      </w:r>
    </w:p>
    <w:p w14:paraId="15FFC9B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承包人应按有关法律规定纳税，应缴纳的税金包括在合同价格内。</w:t>
      </w:r>
    </w:p>
    <w:p w14:paraId="40B2C32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4.1.3 完成各项承包工作</w:t>
      </w:r>
    </w:p>
    <w:p w14:paraId="4FB6212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合同约定以及监理人根据第3.4款作出的指示，完成合同约定的全部工作，并对工作中的任何缺陷进行整改、完善和修补，使其满足合同约定的目的。除专用合同条款另有约定外，承包人应提供合同约定的工程设备和文件，以及为完成合同工作所需的劳务、材料、施工设备和其他物品，并按合同约定负责临时设施的设计、施工、运行、维护、管理和拆除。</w:t>
      </w:r>
    </w:p>
    <w:p w14:paraId="42FAC3E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4.1.4 对设计、施工作业和施工方法，以及工程的完备性负责</w:t>
      </w:r>
    </w:p>
    <w:p w14:paraId="1F79498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承包人应按合同约定的工作内容和进度要求，编制设计、施工的组织和实施计划，并对所有设计、施工作业和施工方法，以及全部工程的完备性和安全可靠性负责。</w:t>
      </w:r>
    </w:p>
    <w:p w14:paraId="15E74AB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4.1.5 保证工程施工和人员的安全</w:t>
      </w:r>
    </w:p>
    <w:p w14:paraId="37F85CB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承包人应按第10.2 款约定采取施工安全措施，确保工程及其人员、材料、设备和设施的安全，防止因工程施工造成的人身伤害和财产损失。</w:t>
      </w:r>
    </w:p>
    <w:p w14:paraId="6F589A2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4.1.6 负责施工场地及其周边环境与生态的保护工作</w:t>
      </w:r>
    </w:p>
    <w:p w14:paraId="3CA1BF9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承包人应按照第10.4 款约定负责施工场地及其周边环境与生态的保护工作。</w:t>
      </w:r>
    </w:p>
    <w:p w14:paraId="2A371AE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4.1.7 避免施工对公众与他人的利益造成损害</w:t>
      </w:r>
    </w:p>
    <w:p w14:paraId="7CB4339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91DF37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4.1.8 为他人提供方便</w:t>
      </w:r>
    </w:p>
    <w:p w14:paraId="41F98A6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14:paraId="0636044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4.1.9 工程的维护和照管</w:t>
      </w:r>
    </w:p>
    <w:p w14:paraId="1736CA8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工程接收证书颁发前，承包人应负责照管和维护工程。工程接收证书颁发时尚有部分未竣工工程的，承包人还应负责该未竣工工程的照管和维护工作，直至竣工后移交给发包人。</w:t>
      </w:r>
    </w:p>
    <w:p w14:paraId="0E56319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4.1.10 其他义务</w:t>
      </w:r>
    </w:p>
    <w:p w14:paraId="31E32BB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承包人应履行合同约定的其他义务。</w:t>
      </w:r>
    </w:p>
    <w:p w14:paraId="1921F178">
      <w:pPr>
        <w:pStyle w:val="4"/>
        <w:spacing w:before="156" w:beforeLines="50"/>
        <w:rPr>
          <w:rFonts w:hint="eastAsia" w:ascii="宋体" w:hAnsi="宋体" w:cs="宋体"/>
          <w:sz w:val="36"/>
          <w:szCs w:val="28"/>
          <w:highlight w:val="none"/>
        </w:rPr>
      </w:pPr>
      <w:bookmarkStart w:id="103" w:name="_Toc247527667"/>
      <w:bookmarkStart w:id="104" w:name="_Toc480909805"/>
      <w:bookmarkStart w:id="105" w:name="_Toc247514066"/>
      <w:r>
        <w:rPr>
          <w:rFonts w:hint="eastAsia" w:ascii="宋体" w:hAnsi="宋体" w:cs="宋体"/>
          <w:sz w:val="36"/>
          <w:szCs w:val="28"/>
          <w:highlight w:val="none"/>
        </w:rPr>
        <w:t>4.2 履约担保</w:t>
      </w:r>
      <w:bookmarkEnd w:id="103"/>
      <w:bookmarkEnd w:id="104"/>
      <w:bookmarkEnd w:id="105"/>
    </w:p>
    <w:p w14:paraId="2FAA3210">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4.2.1 </w:t>
      </w:r>
      <w:r>
        <w:rPr>
          <w:rFonts w:hint="eastAsia" w:ascii="宋体" w:hAnsi="宋体" w:cs="宋体"/>
          <w:sz w:val="22"/>
          <w:highlight w:val="none"/>
        </w:rPr>
        <w:t>承包人应保证其履约担保在发包人颁发工程接收证书前一直有效。发包人应在工程接收证书颁发后28 天内将履约担保退还给承包人。需进行竣工后试验的，承包人应保证其履约担保在竣工后试验通过前一直有效，发包人应在通过竣工验收后7天内将履约担保退还给承包人。</w:t>
      </w:r>
    </w:p>
    <w:p w14:paraId="2735C8C3">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4.2.2 </w:t>
      </w:r>
      <w:r>
        <w:rPr>
          <w:rFonts w:hint="eastAsia" w:ascii="宋体" w:hAnsi="宋体" w:cs="宋体"/>
          <w:sz w:val="22"/>
          <w:highlight w:val="none"/>
        </w:rPr>
        <w:t>如工程延期，承包人有义务继续提供履约担保。由于发包人原因导致延期的，继续提供履约担保所需的费用由发包人承担；由于承包人原因导致延期的，继续提供履约担保所需费用由承包人承担。</w:t>
      </w:r>
    </w:p>
    <w:p w14:paraId="0BB7F04A">
      <w:pPr>
        <w:pStyle w:val="4"/>
        <w:spacing w:before="156" w:beforeLines="50"/>
        <w:rPr>
          <w:rFonts w:hint="eastAsia" w:ascii="宋体" w:hAnsi="宋体" w:cs="宋体"/>
          <w:sz w:val="36"/>
          <w:szCs w:val="28"/>
          <w:highlight w:val="none"/>
        </w:rPr>
      </w:pPr>
      <w:bookmarkStart w:id="106" w:name="_Toc247527668"/>
      <w:bookmarkStart w:id="107" w:name="_Toc247514067"/>
      <w:bookmarkStart w:id="108" w:name="_Toc480909806"/>
      <w:r>
        <w:rPr>
          <w:rFonts w:hint="eastAsia" w:ascii="宋体" w:hAnsi="宋体" w:cs="宋体"/>
          <w:sz w:val="36"/>
          <w:szCs w:val="28"/>
          <w:highlight w:val="none"/>
        </w:rPr>
        <w:t>4.3 分包</w:t>
      </w:r>
      <w:bookmarkEnd w:id="106"/>
      <w:bookmarkEnd w:id="107"/>
      <w:r>
        <w:rPr>
          <w:rFonts w:hint="eastAsia" w:ascii="宋体" w:hAnsi="宋体" w:cs="宋体"/>
          <w:sz w:val="36"/>
          <w:szCs w:val="28"/>
          <w:highlight w:val="none"/>
        </w:rPr>
        <w:t>和不得转包</w:t>
      </w:r>
      <w:bookmarkEnd w:id="108"/>
    </w:p>
    <w:p w14:paraId="730AA80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4.3.1 承包人不得将其承包的全部工程转包给第三人，也不得将其承包的全部工程肢解后以分包的名义分别转包给第三人。</w:t>
      </w:r>
    </w:p>
    <w:p w14:paraId="0D64E90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4.3.2 承包人不得将设计和施工的主体、关键性工作分包给第三人。除专用合同条款另有约定外，未经发包人同意，承包人也不得将非主体、非关键性工作分包给第三人。</w:t>
      </w:r>
    </w:p>
    <w:p w14:paraId="09FF48D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4.3.3 分包人的资格能力应与其分包工作的标准和规模相适应。</w:t>
      </w:r>
    </w:p>
    <w:p w14:paraId="1613E81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4.3.4 发包人同意承包人分包工作的，承包人应向发包人和监理人提交分包合同副本。</w:t>
      </w:r>
    </w:p>
    <w:p w14:paraId="30E1932E">
      <w:pPr>
        <w:pStyle w:val="4"/>
        <w:spacing w:before="156" w:beforeLines="50"/>
        <w:rPr>
          <w:rFonts w:hint="eastAsia" w:ascii="宋体" w:hAnsi="宋体" w:cs="宋体"/>
          <w:sz w:val="36"/>
          <w:szCs w:val="28"/>
          <w:highlight w:val="none"/>
        </w:rPr>
      </w:pPr>
      <w:bookmarkStart w:id="109" w:name="_Toc247514068"/>
      <w:bookmarkStart w:id="110" w:name="_Toc247527669"/>
      <w:bookmarkStart w:id="111" w:name="_Toc480909807"/>
      <w:r>
        <w:rPr>
          <w:rFonts w:hint="eastAsia" w:ascii="宋体" w:hAnsi="宋体" w:cs="宋体"/>
          <w:sz w:val="36"/>
          <w:szCs w:val="28"/>
          <w:highlight w:val="none"/>
        </w:rPr>
        <w:t>4.4 联合体</w:t>
      </w:r>
      <w:bookmarkEnd w:id="109"/>
      <w:bookmarkEnd w:id="110"/>
      <w:bookmarkEnd w:id="111"/>
    </w:p>
    <w:p w14:paraId="2FCCCABC">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4.4.1 </w:t>
      </w:r>
      <w:r>
        <w:rPr>
          <w:rFonts w:hint="eastAsia" w:ascii="宋体" w:hAnsi="宋体" w:cs="宋体"/>
          <w:sz w:val="22"/>
          <w:highlight w:val="none"/>
        </w:rPr>
        <w:t>联合体各方应共同与发包人签订合同。联合体各方应为履行合同承担连带责任。</w:t>
      </w:r>
    </w:p>
    <w:p w14:paraId="7F31EDF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4.4.2</w:t>
      </w:r>
      <w:r>
        <w:rPr>
          <w:rFonts w:hint="eastAsia" w:ascii="宋体" w:hAnsi="宋体" w:cs="宋体"/>
          <w:sz w:val="22"/>
          <w:highlight w:val="none"/>
        </w:rPr>
        <w:t xml:space="preserve"> 联合体协议经发包人确认后作为合同附件。在履行合同过程中，未经发包人同意，不得修改联合体协议。</w:t>
      </w:r>
    </w:p>
    <w:p w14:paraId="5F130538">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4.4.3 </w:t>
      </w:r>
      <w:r>
        <w:rPr>
          <w:rFonts w:hint="eastAsia" w:ascii="宋体" w:hAnsi="宋体" w:cs="宋体"/>
          <w:sz w:val="22"/>
          <w:highlight w:val="none"/>
        </w:rPr>
        <w:t>联合体牵头人或联合体授权的代表负责与发包人和监理人联系，并接受指示，负责组织联合体各成员全面履行合同。</w:t>
      </w:r>
    </w:p>
    <w:p w14:paraId="7F4D9C3A">
      <w:pPr>
        <w:pStyle w:val="4"/>
        <w:spacing w:before="156" w:beforeLines="50"/>
        <w:rPr>
          <w:rFonts w:hint="eastAsia" w:ascii="宋体" w:hAnsi="宋体" w:cs="宋体"/>
          <w:sz w:val="36"/>
          <w:szCs w:val="28"/>
          <w:highlight w:val="none"/>
        </w:rPr>
      </w:pPr>
      <w:bookmarkStart w:id="112" w:name="_Toc247527670"/>
      <w:bookmarkStart w:id="113" w:name="_Toc247514069"/>
      <w:bookmarkStart w:id="114" w:name="_Toc480909808"/>
      <w:r>
        <w:rPr>
          <w:rFonts w:hint="eastAsia" w:ascii="宋体" w:hAnsi="宋体" w:cs="宋体"/>
          <w:sz w:val="36"/>
          <w:szCs w:val="28"/>
          <w:highlight w:val="none"/>
        </w:rPr>
        <w:t>4.5 承包人</w:t>
      </w:r>
      <w:bookmarkEnd w:id="112"/>
      <w:bookmarkEnd w:id="113"/>
      <w:r>
        <w:rPr>
          <w:rFonts w:hint="eastAsia" w:ascii="宋体" w:hAnsi="宋体" w:cs="宋体"/>
          <w:sz w:val="36"/>
          <w:szCs w:val="28"/>
          <w:highlight w:val="none"/>
        </w:rPr>
        <w:t>项目经理（项目总负责人）</w:t>
      </w:r>
      <w:bookmarkEnd w:id="114"/>
    </w:p>
    <w:p w14:paraId="12AE11B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4.5.1 承包人应按合同协议书的约定指派项目经理（项目总负责人），并在约定的期限内到职。承包人更换项目经理（项目总负责人）应事先征得发包人同意，并应在更换14天前将拟更换的项目经理（项目总负责人）的姓名和详细资料提交发包人和监理人。承包人项目经理（项目总负责人）2天内不能履行职责的，应事先征得监理人同意，并委派代表代行其职责。</w:t>
      </w:r>
    </w:p>
    <w:p w14:paraId="7596CB2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4.5.2 承包人项目经理（项目总负责人）应按合同约定以及监理人按第3.4 款作出的指示，负责组织合同工作的实施。在情况紧急且无法与监理人取得联系时，可采取保证工程和人员生命财产安全的紧急措施，并在采取措施后24小时内向监理人提交书面报告。</w:t>
      </w:r>
    </w:p>
    <w:p w14:paraId="36B7C5E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4.5.3 承包人为履行合同发出的一切函件均应盖有承包人单位章或由承包人项目经理（项目总负责人）签字。</w:t>
      </w:r>
    </w:p>
    <w:p w14:paraId="05E2D1F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4.5.4 承包人项目经理（项目总负责人）可以授权其下属人员履行其某项职责，但事先应将这些人员的姓名和授权范围书面通知发包人和监理人。</w:t>
      </w:r>
    </w:p>
    <w:p w14:paraId="437788BC">
      <w:pPr>
        <w:pStyle w:val="4"/>
        <w:spacing w:before="156" w:beforeLines="50"/>
        <w:rPr>
          <w:rFonts w:hint="eastAsia" w:ascii="宋体" w:hAnsi="宋体" w:cs="宋体"/>
          <w:sz w:val="36"/>
          <w:szCs w:val="28"/>
          <w:highlight w:val="none"/>
        </w:rPr>
      </w:pPr>
      <w:bookmarkStart w:id="115" w:name="_Toc247527671"/>
      <w:bookmarkStart w:id="116" w:name="_Toc480909809"/>
      <w:bookmarkStart w:id="117" w:name="_Toc247514070"/>
      <w:r>
        <w:rPr>
          <w:rFonts w:hint="eastAsia" w:ascii="宋体" w:hAnsi="宋体" w:cs="宋体"/>
          <w:sz w:val="36"/>
          <w:szCs w:val="28"/>
          <w:highlight w:val="none"/>
        </w:rPr>
        <w:t>4.6 承包人人员的管理</w:t>
      </w:r>
      <w:bookmarkEnd w:id="115"/>
      <w:bookmarkEnd w:id="116"/>
      <w:bookmarkEnd w:id="117"/>
    </w:p>
    <w:p w14:paraId="7784F0F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4.6.1 承包人应在接到开始工作通知之日起28天内，向监理人提交承包人的项目管理机构以及人员安排的报告，其内容应包括项目管理机构的设置、各主要岗位的技术和管理人员名单及其资格，以及设计人员和各工种技术工人的安排状况。承包人安排的主要管理人员和技术人员应相对稳定，更换主要管理人员和技术人员的，应取得监理人的同意,并向监理人提交继任人员的资格、管理经验等资料。项目经理（项目总负责人）的更换，应按照本章第4.5款规定执行。</w:t>
      </w:r>
    </w:p>
    <w:p w14:paraId="086FB7B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4.6.2 承包人安排的主要管理人员包括项目经理（项目总负责人）、设计负责人、施工负责人（施工项目经理）、采购负责人以及专职质量、安全生产管理人员等；技术人员包括设计师、建筑师、土木工程师、设备工程师、建造师等。</w:t>
      </w:r>
    </w:p>
    <w:p w14:paraId="4FD048F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4.6.3 承包人的设计人员应由具有国家规定和发包人要求中约定的资格，并具有从事设计所必需的经验与能力。</w:t>
      </w:r>
    </w:p>
    <w:p w14:paraId="69ABA2A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承包人应保证其设计人员（包括分包人的设计人员）在合同期限内的任何时候，都能按时参加发包人或其委托的监理人组织的工作会议。</w:t>
      </w:r>
    </w:p>
    <w:p w14:paraId="5A2BDA3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4.6.4 国家规定应当持证上岗的工作人员均应持有相应的资格证明，监理人有权随时检查。监理人认为有必要时，可进行现场考核。</w:t>
      </w:r>
    </w:p>
    <w:p w14:paraId="4FF3D4F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4.6.5 除专用合同条款另有约定外，承包人的主要施工管理人员离开施工现场连续超过3天的，应事先征得监理人同意。承包人擅自更换项目经理（项目总负责人）或主要施工管理人员，或前述人员未经监理人许可擅自离开施工现场连续超过3天的，应按照专用合同条款约定承担违约责任。</w:t>
      </w:r>
    </w:p>
    <w:p w14:paraId="7014C181">
      <w:pPr>
        <w:pStyle w:val="4"/>
        <w:spacing w:before="156" w:beforeLines="50"/>
        <w:ind w:firstLine="118"/>
        <w:rPr>
          <w:rFonts w:hint="eastAsia" w:ascii="宋体" w:hAnsi="宋体" w:cs="宋体"/>
          <w:sz w:val="36"/>
          <w:szCs w:val="28"/>
          <w:highlight w:val="none"/>
        </w:rPr>
      </w:pPr>
      <w:bookmarkStart w:id="118" w:name="_Toc247514071"/>
      <w:bookmarkStart w:id="119" w:name="_Toc247527672"/>
      <w:bookmarkStart w:id="120" w:name="_Toc480909810"/>
      <w:r>
        <w:rPr>
          <w:rFonts w:hint="eastAsia" w:ascii="宋体" w:hAnsi="宋体" w:cs="宋体"/>
          <w:sz w:val="36"/>
          <w:szCs w:val="28"/>
          <w:highlight w:val="none"/>
        </w:rPr>
        <w:t>4.7 撤换承包人项目经理（项目总负责人）和其他人员</w:t>
      </w:r>
      <w:bookmarkEnd w:id="118"/>
      <w:bookmarkEnd w:id="119"/>
      <w:bookmarkEnd w:id="120"/>
    </w:p>
    <w:p w14:paraId="06582D3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承包人应对其项目经理（项目总负责人）和其他人员进行有效管理。监理人要求撤换不能胜任本职工作、行为不端或玩忽职守的承包人项目经理（项目总负责人）和其他人员的，承包人应予以撤换。</w:t>
      </w:r>
    </w:p>
    <w:p w14:paraId="67245C96">
      <w:pPr>
        <w:pStyle w:val="4"/>
        <w:spacing w:before="156" w:beforeLines="50"/>
        <w:rPr>
          <w:rFonts w:hint="eastAsia" w:ascii="宋体" w:hAnsi="宋体" w:cs="宋体"/>
          <w:sz w:val="36"/>
          <w:szCs w:val="28"/>
          <w:highlight w:val="none"/>
        </w:rPr>
      </w:pPr>
      <w:bookmarkStart w:id="121" w:name="_Toc247527673"/>
      <w:bookmarkStart w:id="122" w:name="_Toc247514072"/>
      <w:bookmarkStart w:id="123" w:name="_Toc480909811"/>
      <w:r>
        <w:rPr>
          <w:rFonts w:hint="eastAsia" w:ascii="宋体" w:hAnsi="宋体" w:cs="宋体"/>
          <w:sz w:val="36"/>
          <w:szCs w:val="28"/>
          <w:highlight w:val="none"/>
        </w:rPr>
        <w:t>4.8 保障承包人人员的合法权益</w:t>
      </w:r>
      <w:bookmarkEnd w:id="121"/>
      <w:bookmarkEnd w:id="122"/>
      <w:bookmarkEnd w:id="123"/>
    </w:p>
    <w:p w14:paraId="5CFDBD5C">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4.8.1</w:t>
      </w:r>
      <w:r>
        <w:rPr>
          <w:rFonts w:hint="eastAsia" w:ascii="宋体" w:hAnsi="宋体" w:cs="宋体"/>
          <w:sz w:val="22"/>
          <w:highlight w:val="none"/>
        </w:rPr>
        <w:t xml:space="preserve"> 承包人应与其雇佣的人员签订劳动合同，并按时发放工资。</w:t>
      </w:r>
    </w:p>
    <w:p w14:paraId="6E28E076">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4.8.2</w:t>
      </w:r>
      <w:r>
        <w:rPr>
          <w:rFonts w:hint="eastAsia" w:ascii="宋体" w:hAnsi="宋体" w:cs="宋体"/>
          <w:sz w:val="22"/>
          <w:highlight w:val="none"/>
        </w:rPr>
        <w:t xml:space="preserve"> 承包人应按劳动法的规定安排工作时间，保证其雇佣人员享有休息和休假的权利。因设计、施工的特殊需要占用休假日或延长工作时间的，应不超过法律规定的限度，并按法律规定给予补休或付酬。</w:t>
      </w:r>
    </w:p>
    <w:p w14:paraId="07A6293E">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4.8.3</w:t>
      </w:r>
      <w:r>
        <w:rPr>
          <w:rFonts w:hint="eastAsia" w:ascii="宋体" w:hAnsi="宋体" w:cs="宋体"/>
          <w:sz w:val="22"/>
          <w:highlight w:val="none"/>
        </w:rPr>
        <w:t xml:space="preserve"> 承包人应为其雇佣人员提供必要的食宿条件，以及符合环境保护和卫生要求的生活环境，在远离城镇的施工场地，还应配备必要的伤病防治和急救的医务人员与医疗设施。</w:t>
      </w:r>
    </w:p>
    <w:p w14:paraId="05818180">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4.8.4</w:t>
      </w:r>
      <w:r>
        <w:rPr>
          <w:rFonts w:hint="eastAsia" w:ascii="宋体" w:hAnsi="宋体" w:cs="宋体"/>
          <w:sz w:val="22"/>
          <w:highlight w:val="none"/>
        </w:rPr>
        <w:t xml:space="preserve">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7699D1C9">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4.8.5</w:t>
      </w:r>
      <w:r>
        <w:rPr>
          <w:rFonts w:hint="eastAsia" w:ascii="宋体" w:hAnsi="宋体" w:cs="宋体"/>
          <w:sz w:val="22"/>
          <w:highlight w:val="none"/>
        </w:rPr>
        <w:t xml:space="preserve"> 承包人应按有关法律规定和合同约定，为其雇佣人员办理保险。</w:t>
      </w:r>
    </w:p>
    <w:p w14:paraId="0CCBF0A5">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4.8.6</w:t>
      </w:r>
      <w:r>
        <w:rPr>
          <w:rFonts w:hint="eastAsia" w:ascii="宋体" w:hAnsi="宋体" w:cs="宋体"/>
          <w:sz w:val="22"/>
          <w:highlight w:val="none"/>
        </w:rPr>
        <w:t xml:space="preserve"> 承包人应负责处理其雇佣人员因工伤亡事故的善后事宜。</w:t>
      </w:r>
    </w:p>
    <w:p w14:paraId="5BDFFD1E">
      <w:pPr>
        <w:pStyle w:val="4"/>
        <w:spacing w:before="156" w:beforeLines="50"/>
        <w:rPr>
          <w:rFonts w:hint="eastAsia" w:ascii="宋体" w:hAnsi="宋体" w:cs="宋体"/>
          <w:sz w:val="36"/>
          <w:szCs w:val="28"/>
          <w:highlight w:val="none"/>
        </w:rPr>
      </w:pPr>
      <w:bookmarkStart w:id="124" w:name="_Toc480909812"/>
      <w:bookmarkStart w:id="125" w:name="_Toc247514073"/>
      <w:bookmarkStart w:id="126" w:name="_Toc247527674"/>
      <w:r>
        <w:rPr>
          <w:rFonts w:hint="eastAsia" w:ascii="宋体" w:hAnsi="宋体" w:cs="宋体"/>
          <w:sz w:val="36"/>
          <w:szCs w:val="28"/>
          <w:highlight w:val="none"/>
        </w:rPr>
        <w:t>4.9 工程价款应专款专用</w:t>
      </w:r>
      <w:bookmarkEnd w:id="124"/>
      <w:bookmarkEnd w:id="125"/>
      <w:bookmarkEnd w:id="126"/>
    </w:p>
    <w:p w14:paraId="760ED8D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发包人按合同约定支付给承包人的各项价款应专用于合同工作。</w:t>
      </w:r>
    </w:p>
    <w:p w14:paraId="5E098F02">
      <w:pPr>
        <w:pStyle w:val="4"/>
        <w:spacing w:before="156" w:beforeLines="50"/>
        <w:rPr>
          <w:rFonts w:hint="eastAsia" w:ascii="宋体" w:hAnsi="宋体" w:cs="宋体"/>
          <w:sz w:val="36"/>
          <w:szCs w:val="28"/>
          <w:highlight w:val="none"/>
        </w:rPr>
      </w:pPr>
      <w:bookmarkStart w:id="127" w:name="_Toc480909813"/>
      <w:bookmarkStart w:id="128" w:name="_Toc247527675"/>
      <w:bookmarkStart w:id="129" w:name="_Toc247514074"/>
      <w:r>
        <w:rPr>
          <w:rFonts w:hint="eastAsia" w:ascii="宋体" w:hAnsi="宋体" w:cs="宋体"/>
          <w:sz w:val="36"/>
          <w:szCs w:val="28"/>
          <w:highlight w:val="none"/>
        </w:rPr>
        <w:t>4.10 承包人现场查勘</w:t>
      </w:r>
      <w:bookmarkEnd w:id="127"/>
      <w:bookmarkEnd w:id="128"/>
      <w:bookmarkEnd w:id="129"/>
    </w:p>
    <w:p w14:paraId="1717EF93">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4.10.1 </w:t>
      </w:r>
      <w:r>
        <w:rPr>
          <w:rFonts w:hint="eastAsia" w:ascii="宋体" w:hAnsi="宋体" w:cs="宋体"/>
          <w:sz w:val="22"/>
          <w:highlight w:val="none"/>
        </w:rPr>
        <w:t>发包人应向承包人提供施工场地及毗邻区域内的供水、排水、供电、供气、供热、通信、广播电视等地下管线资料、气象和水文观测资料，相邻建筑物和构筑物、地下工程的有关资料，以及其他与建设工程有关的原始资料，并承担原始资料错误造成的全部责任，但承包人应对其阅读上述有关资料后所作出的解释和推断负责。</w:t>
      </w:r>
    </w:p>
    <w:p w14:paraId="1C285EA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4.10.2</w:t>
      </w:r>
      <w:r>
        <w:rPr>
          <w:rFonts w:hint="eastAsia" w:ascii="宋体" w:hAnsi="宋体" w:cs="宋体"/>
          <w:sz w:val="22"/>
          <w:highlight w:val="none"/>
        </w:rPr>
        <w:t xml:space="preserve"> 承包人应对施工场地和周围环境进行查勘，并收集除发包人提供外为完成合同工作有关的当地资料。在全部合同工作中，视为承包人已充分估计了应承担的责任和风险。</w:t>
      </w:r>
    </w:p>
    <w:p w14:paraId="7F5C54F7">
      <w:pPr>
        <w:pStyle w:val="4"/>
        <w:spacing w:before="156" w:beforeLines="50"/>
        <w:rPr>
          <w:rFonts w:hint="eastAsia" w:ascii="宋体" w:hAnsi="宋体" w:cs="宋体"/>
          <w:sz w:val="36"/>
          <w:szCs w:val="28"/>
          <w:highlight w:val="none"/>
        </w:rPr>
      </w:pPr>
      <w:bookmarkStart w:id="130" w:name="_Toc480909814"/>
      <w:bookmarkStart w:id="131" w:name="_Toc265955416"/>
      <w:bookmarkStart w:id="132" w:name="_Toc247705004"/>
      <w:r>
        <w:rPr>
          <w:rFonts w:hint="eastAsia" w:ascii="宋体" w:hAnsi="宋体" w:cs="宋体"/>
          <w:sz w:val="36"/>
          <w:szCs w:val="28"/>
          <w:highlight w:val="none"/>
        </w:rPr>
        <w:t>4.11 不可预见的困难和费用</w:t>
      </w:r>
      <w:bookmarkEnd w:id="130"/>
      <w:bookmarkEnd w:id="131"/>
      <w:bookmarkEnd w:id="132"/>
    </w:p>
    <w:p w14:paraId="0A33A98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除合同另有约定外，承包人应视为已取得工程有关风险、意外事件和其他情况的全部必要资料，并预见工程所有困难和费用。承包人遇到不可预见的困难和费用时，合同价格不予调整。</w:t>
      </w:r>
    </w:p>
    <w:p w14:paraId="4F2715E2">
      <w:pPr>
        <w:pStyle w:val="4"/>
        <w:spacing w:before="156" w:beforeLines="50"/>
        <w:rPr>
          <w:rFonts w:hint="eastAsia" w:ascii="宋体" w:hAnsi="宋体" w:cs="宋体"/>
          <w:sz w:val="36"/>
          <w:szCs w:val="28"/>
          <w:highlight w:val="none"/>
        </w:rPr>
      </w:pPr>
      <w:bookmarkStart w:id="133" w:name="_Toc247514076"/>
      <w:bookmarkStart w:id="134" w:name="_Toc480909815"/>
      <w:bookmarkStart w:id="135" w:name="_Toc247527677"/>
      <w:r>
        <w:rPr>
          <w:rFonts w:hint="eastAsia" w:ascii="宋体" w:hAnsi="宋体" w:cs="宋体"/>
          <w:sz w:val="36"/>
          <w:szCs w:val="28"/>
          <w:highlight w:val="none"/>
        </w:rPr>
        <w:t>4.12 进度计划</w:t>
      </w:r>
      <w:bookmarkEnd w:id="133"/>
      <w:bookmarkEnd w:id="134"/>
      <w:bookmarkEnd w:id="135"/>
    </w:p>
    <w:p w14:paraId="2CE46429">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4.12.1</w:t>
      </w:r>
      <w:r>
        <w:rPr>
          <w:rFonts w:hint="eastAsia" w:ascii="宋体" w:hAnsi="宋体" w:cs="宋体"/>
          <w:sz w:val="22"/>
          <w:highlight w:val="none"/>
        </w:rPr>
        <w:t xml:space="preserve"> 合同进度计划</w:t>
      </w:r>
    </w:p>
    <w:p w14:paraId="17C453B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合同约定的内容和期限，编制详细的进度计划，包括设计、承包人文件提交、采购、制造、检验、运达现场、施工、安装、试验的各个阶段的预期时间以及设计和施工组织方案说明等报送监理人。监理人应在专用合同条款约定的期限内批复或提出修改意见，否则该进度计划视为已得到批准。经监理人批准的进度计划称合同进度计划，是控制合同工程进度的依据。承包人还应根据合同进度计划，编制更为详细的分阶段或分项进度计划，报监理人批准。</w:t>
      </w:r>
    </w:p>
    <w:p w14:paraId="558904A8">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4.12.2 合同进度计划的修订</w:t>
      </w:r>
    </w:p>
    <w:p w14:paraId="34A44D3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不论何种原因造成工程的实际进度与第4.12.1项的合同进度计划不符时，承包人可以在专用合同条款约定的期限内向监理人提交修订合同进度计划的申请报告，并附有关措施和相关资料，报监理人批准；监理人也可以直接向承包人作出修订合同进度计划的指示，承包人应按该指示修订合同进度计划，报监理人批准。监理人应在专用合同条款约定的期限内批复。监理人在批复前应获得发包人同意。</w:t>
      </w:r>
    </w:p>
    <w:p w14:paraId="26CD7355">
      <w:pPr>
        <w:pStyle w:val="4"/>
        <w:spacing w:before="156" w:beforeLines="50"/>
        <w:rPr>
          <w:rFonts w:hint="eastAsia" w:ascii="宋体" w:hAnsi="宋体" w:cs="宋体"/>
          <w:sz w:val="36"/>
          <w:szCs w:val="28"/>
          <w:highlight w:val="none"/>
        </w:rPr>
      </w:pPr>
      <w:bookmarkStart w:id="136" w:name="_Toc480909816"/>
      <w:r>
        <w:rPr>
          <w:rFonts w:hint="eastAsia" w:ascii="宋体" w:hAnsi="宋体" w:cs="宋体"/>
          <w:sz w:val="36"/>
          <w:szCs w:val="28"/>
          <w:highlight w:val="none"/>
        </w:rPr>
        <w:t>4.13 质量保证</w:t>
      </w:r>
      <w:bookmarkEnd w:id="136"/>
    </w:p>
    <w:p w14:paraId="3AD615EF">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4.13.1 </w:t>
      </w:r>
      <w:r>
        <w:rPr>
          <w:rFonts w:hint="eastAsia" w:ascii="宋体" w:hAnsi="宋体" w:cs="宋体"/>
          <w:sz w:val="22"/>
          <w:highlight w:val="none"/>
        </w:rPr>
        <w:t>为保证工程质量，承包人应按照合同要求建立质量保证体系。监理人有权对承包人的质量保证体系进行审查。</w:t>
      </w:r>
    </w:p>
    <w:p w14:paraId="797AC05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4.13.2 </w:t>
      </w:r>
      <w:r>
        <w:rPr>
          <w:rFonts w:hint="eastAsia" w:ascii="宋体" w:hAnsi="宋体" w:cs="宋体"/>
          <w:sz w:val="22"/>
          <w:highlight w:val="none"/>
        </w:rPr>
        <w:t>承包人应在各设计和实施阶段开始前，向监理人提交其具体的质量保证细则和工作程序。</w:t>
      </w:r>
    </w:p>
    <w:p w14:paraId="3B6C7EFF">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4.13.3 </w:t>
      </w:r>
      <w:r>
        <w:rPr>
          <w:rFonts w:hint="eastAsia" w:ascii="宋体" w:hAnsi="宋体" w:cs="宋体"/>
          <w:sz w:val="22"/>
          <w:highlight w:val="none"/>
        </w:rPr>
        <w:t>遵守质量保证体系，不应免除合同约定的承包人的义务和责任。</w:t>
      </w:r>
    </w:p>
    <w:p w14:paraId="7442238A">
      <w:pPr>
        <w:pStyle w:val="3"/>
        <w:spacing w:before="156" w:beforeLines="50" w:after="0" w:line="360" w:lineRule="auto"/>
        <w:rPr>
          <w:rFonts w:hint="eastAsia" w:ascii="宋体" w:hAnsi="宋体" w:cs="宋体"/>
          <w:b w:val="0"/>
          <w:highlight w:val="none"/>
        </w:rPr>
      </w:pPr>
      <w:bookmarkStart w:id="137" w:name="_Toc480909817"/>
      <w:bookmarkStart w:id="138" w:name="_Toc247514077"/>
      <w:bookmarkStart w:id="139" w:name="_Toc247527678"/>
      <w:r>
        <w:rPr>
          <w:rFonts w:hint="eastAsia" w:ascii="宋体" w:hAnsi="宋体" w:cs="宋体"/>
          <w:b w:val="0"/>
          <w:highlight w:val="none"/>
        </w:rPr>
        <w:t>5. 设计</w:t>
      </w:r>
      <w:bookmarkEnd w:id="137"/>
      <w:bookmarkEnd w:id="138"/>
      <w:bookmarkEnd w:id="139"/>
    </w:p>
    <w:p w14:paraId="6A065784">
      <w:pPr>
        <w:pStyle w:val="4"/>
        <w:spacing w:before="156" w:beforeLines="50"/>
        <w:rPr>
          <w:rFonts w:hint="eastAsia" w:ascii="宋体" w:hAnsi="宋体" w:cs="宋体"/>
          <w:sz w:val="36"/>
          <w:szCs w:val="28"/>
          <w:highlight w:val="none"/>
        </w:rPr>
      </w:pPr>
      <w:bookmarkStart w:id="140" w:name="_Toc264373498"/>
      <w:bookmarkStart w:id="141" w:name="_Toc257880849"/>
      <w:bookmarkStart w:id="142" w:name="_Toc258440543"/>
      <w:bookmarkStart w:id="143" w:name="_Toc480909818"/>
      <w:bookmarkStart w:id="144" w:name="_Toc259552511"/>
      <w:bookmarkStart w:id="145" w:name="_Toc259350427"/>
      <w:bookmarkStart w:id="146" w:name="_Toc247514078"/>
      <w:bookmarkStart w:id="147" w:name="_Toc247527679"/>
      <w:bookmarkStart w:id="148" w:name="_Toc468936969"/>
      <w:bookmarkStart w:id="149" w:name="_Toc297347661"/>
      <w:bookmarkStart w:id="150" w:name="_Toc487072795"/>
      <w:r>
        <w:rPr>
          <w:rFonts w:hint="eastAsia" w:ascii="宋体" w:hAnsi="宋体" w:cs="宋体"/>
          <w:sz w:val="36"/>
          <w:szCs w:val="28"/>
          <w:highlight w:val="none"/>
        </w:rPr>
        <w:t>5.1 承包人的设计义务</w:t>
      </w:r>
      <w:bookmarkEnd w:id="140"/>
      <w:bookmarkEnd w:id="141"/>
      <w:bookmarkEnd w:id="142"/>
      <w:bookmarkEnd w:id="143"/>
      <w:bookmarkEnd w:id="144"/>
      <w:bookmarkEnd w:id="145"/>
    </w:p>
    <w:p w14:paraId="1C257940">
      <w:pPr>
        <w:spacing w:line="360" w:lineRule="auto"/>
        <w:ind w:firstLine="440" w:firstLineChars="200"/>
        <w:rPr>
          <w:rFonts w:hint="eastAsia" w:ascii="宋体" w:hAnsi="宋体" w:cs="宋体"/>
          <w:sz w:val="22"/>
          <w:highlight w:val="none"/>
        </w:rPr>
      </w:pPr>
      <w:bookmarkStart w:id="151" w:name="_Toc259350428"/>
      <w:bookmarkStart w:id="152" w:name="_Toc264373499"/>
      <w:bookmarkStart w:id="153" w:name="_Toc259552512"/>
      <w:bookmarkStart w:id="154" w:name="_Toc258440544"/>
      <w:r>
        <w:rPr>
          <w:rFonts w:hint="eastAsia" w:ascii="宋体" w:hAnsi="宋体" w:cs="宋体"/>
          <w:sz w:val="22"/>
          <w:szCs w:val="24"/>
          <w:highlight w:val="none"/>
        </w:rPr>
        <w:t>5.1.1</w:t>
      </w:r>
      <w:r>
        <w:rPr>
          <w:rFonts w:hint="eastAsia" w:ascii="宋体" w:hAnsi="宋体" w:cs="宋体"/>
          <w:sz w:val="22"/>
          <w:highlight w:val="none"/>
        </w:rPr>
        <w:t xml:space="preserve"> 设计义务</w:t>
      </w:r>
      <w:bookmarkEnd w:id="151"/>
      <w:bookmarkEnd w:id="152"/>
      <w:bookmarkEnd w:id="153"/>
      <w:bookmarkEnd w:id="154"/>
      <w:r>
        <w:rPr>
          <w:rFonts w:hint="eastAsia" w:ascii="宋体" w:hAnsi="宋体" w:cs="宋体"/>
          <w:sz w:val="22"/>
          <w:highlight w:val="none"/>
        </w:rPr>
        <w:t>的一般要求</w:t>
      </w:r>
    </w:p>
    <w:p w14:paraId="6757E09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承包人应按照法律规定，以及国家、行业和地方的规范和标准完成设计工作，并符合发包人要求。</w:t>
      </w:r>
    </w:p>
    <w:p w14:paraId="64C0269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5.1.2</w:t>
      </w:r>
      <w:r>
        <w:rPr>
          <w:rFonts w:hint="eastAsia" w:ascii="宋体" w:hAnsi="宋体" w:cs="宋体"/>
          <w:sz w:val="22"/>
          <w:highlight w:val="none"/>
        </w:rPr>
        <w:t xml:space="preserve"> 法律和标准的变化</w:t>
      </w:r>
    </w:p>
    <w:p w14:paraId="178A41C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合同另有约定外，承包人完成设计工作所应遵守的法律规定，以及国家、行业和地方的规范和标准，均应视为在基准日适用的版本。基准日之后，前述版本发生重大变化，或者有新的法律，以及国家、行业和地方的规范和标准实施的，承包人应向发包人或发包人委托的监理人提出遵守新规定的建议。发包人或其委托的监理人应在收到建议后7天内发出是否遵守新规定的指示。发包人或其委托的监理人指示遵守新规定的，按照第</w:t>
      </w:r>
      <w:r>
        <w:rPr>
          <w:rFonts w:hint="eastAsia" w:ascii="宋体" w:hAnsi="宋体" w:cs="宋体"/>
          <w:sz w:val="22"/>
          <w:szCs w:val="24"/>
          <w:highlight w:val="none"/>
        </w:rPr>
        <w:t>15</w:t>
      </w:r>
      <w:r>
        <w:rPr>
          <w:rFonts w:hint="eastAsia" w:ascii="宋体" w:hAnsi="宋体" w:cs="宋体"/>
          <w:sz w:val="22"/>
          <w:highlight w:val="none"/>
        </w:rPr>
        <w:t>条或第</w:t>
      </w:r>
      <w:r>
        <w:rPr>
          <w:rFonts w:hint="eastAsia" w:ascii="宋体" w:hAnsi="宋体" w:cs="宋体"/>
          <w:sz w:val="22"/>
          <w:szCs w:val="24"/>
          <w:highlight w:val="none"/>
        </w:rPr>
        <w:t>16.2</w:t>
      </w:r>
      <w:r>
        <w:rPr>
          <w:rFonts w:hint="eastAsia" w:ascii="宋体" w:hAnsi="宋体" w:cs="宋体"/>
          <w:sz w:val="22"/>
          <w:highlight w:val="none"/>
        </w:rPr>
        <w:t>款约定执行。</w:t>
      </w:r>
    </w:p>
    <w:p w14:paraId="07E78C14">
      <w:pPr>
        <w:pStyle w:val="4"/>
        <w:spacing w:before="156" w:beforeLines="50"/>
        <w:rPr>
          <w:rFonts w:hint="eastAsia" w:ascii="宋体" w:hAnsi="宋体" w:cs="宋体"/>
          <w:sz w:val="36"/>
          <w:szCs w:val="28"/>
          <w:highlight w:val="none"/>
        </w:rPr>
      </w:pPr>
      <w:bookmarkStart w:id="155" w:name="_Toc257880851"/>
      <w:bookmarkStart w:id="156" w:name="_Toc258440550"/>
      <w:bookmarkStart w:id="157" w:name="_Toc259552518"/>
      <w:bookmarkStart w:id="158" w:name="_Toc264373505"/>
      <w:bookmarkStart w:id="159" w:name="_Toc259350434"/>
      <w:bookmarkStart w:id="160" w:name="_Toc480909819"/>
      <w:r>
        <w:rPr>
          <w:rFonts w:hint="eastAsia" w:ascii="宋体" w:hAnsi="宋体" w:cs="宋体"/>
          <w:sz w:val="36"/>
          <w:szCs w:val="28"/>
          <w:highlight w:val="none"/>
        </w:rPr>
        <w:t xml:space="preserve">5.2 </w:t>
      </w:r>
      <w:bookmarkEnd w:id="155"/>
      <w:r>
        <w:rPr>
          <w:rFonts w:hint="eastAsia" w:ascii="宋体" w:hAnsi="宋体" w:cs="宋体"/>
          <w:sz w:val="36"/>
          <w:szCs w:val="28"/>
          <w:highlight w:val="none"/>
        </w:rPr>
        <w:t>承包人设计进度计划</w:t>
      </w:r>
      <w:bookmarkEnd w:id="156"/>
      <w:bookmarkEnd w:id="157"/>
      <w:bookmarkEnd w:id="158"/>
      <w:bookmarkEnd w:id="159"/>
      <w:bookmarkEnd w:id="160"/>
    </w:p>
    <w:p w14:paraId="1CCBD67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承包人应按照发包人要求，在合同进度计划中专门列出设计进度计划，报发包人批准后执行。承包人需按照经批准后的计划开展设计工作。</w:t>
      </w:r>
    </w:p>
    <w:p w14:paraId="314E0DB4">
      <w:pPr>
        <w:spacing w:line="360" w:lineRule="auto"/>
        <w:ind w:firstLine="440" w:firstLineChars="200"/>
        <w:rPr>
          <w:rFonts w:hint="eastAsia" w:ascii="宋体" w:hAnsi="宋体" w:cs="宋体"/>
          <w:sz w:val="22"/>
          <w:highlight w:val="none"/>
        </w:rPr>
      </w:pPr>
      <w:bookmarkStart w:id="161" w:name="_Toc247593033"/>
      <w:r>
        <w:rPr>
          <w:rFonts w:hint="eastAsia" w:ascii="宋体" w:hAnsi="宋体" w:cs="宋体"/>
          <w:sz w:val="22"/>
          <w:highlight w:val="none"/>
        </w:rPr>
        <w:t>因承包人原因影响设计进度的，按</w:t>
      </w:r>
      <w:r>
        <w:rPr>
          <w:rFonts w:hint="eastAsia" w:ascii="宋体" w:hAnsi="宋体" w:cs="宋体"/>
          <w:sz w:val="22"/>
          <w:szCs w:val="24"/>
          <w:highlight w:val="none"/>
        </w:rPr>
        <w:t>第11.5</w:t>
      </w:r>
      <w:r>
        <w:rPr>
          <w:rFonts w:hint="eastAsia" w:ascii="宋体" w:hAnsi="宋体" w:cs="宋体"/>
          <w:sz w:val="22"/>
          <w:highlight w:val="none"/>
        </w:rPr>
        <w:t>款</w:t>
      </w:r>
      <w:bookmarkEnd w:id="161"/>
      <w:r>
        <w:rPr>
          <w:rFonts w:hint="eastAsia" w:ascii="宋体" w:hAnsi="宋体" w:cs="宋体"/>
          <w:sz w:val="22"/>
          <w:highlight w:val="none"/>
        </w:rPr>
        <w:t>的约定执行。因发包人原因影响设计进度的，按第</w:t>
      </w:r>
      <w:r>
        <w:rPr>
          <w:rFonts w:hint="eastAsia" w:ascii="宋体" w:hAnsi="宋体" w:cs="宋体"/>
          <w:sz w:val="22"/>
          <w:szCs w:val="24"/>
          <w:highlight w:val="none"/>
        </w:rPr>
        <w:t>15</w:t>
      </w:r>
      <w:r>
        <w:rPr>
          <w:rFonts w:hint="eastAsia" w:ascii="宋体" w:hAnsi="宋体" w:cs="宋体"/>
          <w:sz w:val="22"/>
          <w:highlight w:val="none"/>
        </w:rPr>
        <w:t>条变更处理。</w:t>
      </w:r>
    </w:p>
    <w:p w14:paraId="62FA329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发包人或其委托的监理人有权要求承包人根据</w:t>
      </w:r>
      <w:r>
        <w:rPr>
          <w:rFonts w:hint="eastAsia" w:ascii="宋体" w:hAnsi="宋体" w:cs="宋体"/>
          <w:sz w:val="22"/>
          <w:szCs w:val="24"/>
          <w:highlight w:val="none"/>
        </w:rPr>
        <w:t>第11.5</w:t>
      </w:r>
      <w:r>
        <w:rPr>
          <w:rFonts w:hint="eastAsia" w:ascii="宋体" w:hAnsi="宋体" w:cs="宋体"/>
          <w:sz w:val="22"/>
          <w:highlight w:val="none"/>
        </w:rPr>
        <w:t>款提交修正的进度计划、增加投入资源并加快设计进度。</w:t>
      </w:r>
    </w:p>
    <w:p w14:paraId="176DEF5D">
      <w:pPr>
        <w:pStyle w:val="4"/>
        <w:spacing w:before="156" w:beforeLines="50"/>
        <w:rPr>
          <w:rFonts w:hint="eastAsia" w:ascii="宋体" w:hAnsi="宋体" w:cs="宋体"/>
          <w:sz w:val="36"/>
          <w:szCs w:val="28"/>
          <w:highlight w:val="none"/>
        </w:rPr>
      </w:pPr>
      <w:bookmarkStart w:id="162" w:name="_Toc259350439"/>
      <w:bookmarkStart w:id="163" w:name="_Toc264373507"/>
      <w:bookmarkStart w:id="164" w:name="_Toc257880852"/>
      <w:bookmarkStart w:id="165" w:name="_Toc480909820"/>
      <w:bookmarkStart w:id="166" w:name="_Toc258440555"/>
      <w:bookmarkStart w:id="167" w:name="_Toc259552523"/>
      <w:r>
        <w:rPr>
          <w:rFonts w:hint="eastAsia" w:ascii="宋体" w:hAnsi="宋体" w:cs="宋体"/>
          <w:sz w:val="36"/>
          <w:szCs w:val="28"/>
          <w:highlight w:val="none"/>
        </w:rPr>
        <w:t>5.3 设计审查</w:t>
      </w:r>
      <w:bookmarkEnd w:id="162"/>
      <w:bookmarkEnd w:id="163"/>
      <w:bookmarkEnd w:id="164"/>
      <w:bookmarkEnd w:id="165"/>
      <w:bookmarkEnd w:id="166"/>
      <w:bookmarkEnd w:id="167"/>
    </w:p>
    <w:p w14:paraId="117997F8">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5.3.1 </w:t>
      </w:r>
      <w:r>
        <w:rPr>
          <w:rFonts w:hint="eastAsia" w:ascii="宋体" w:hAnsi="宋体" w:cs="宋体"/>
          <w:sz w:val="22"/>
          <w:highlight w:val="none"/>
        </w:rPr>
        <w:t>承包人的设计文件应报发包人审查同意。审查的范围和内容在发包人要求中约定。</w:t>
      </w:r>
    </w:p>
    <w:p w14:paraId="0DE90F7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合同另有约定外，自监理人收到承包人的设计文件以及承包人的通知之日起，发包人对承包人的设计文件审查期不超过21天。承包人的设计文件对于合同约定有偏离的，应在通知中说明。承包人需要修改已提交的承包人文件的，应立即通知监理人，并向监理人提交修改后的承包人的设计文件，审查期重新起算。</w:t>
      </w:r>
    </w:p>
    <w:p w14:paraId="7CFFCD8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发包人不同意设计文件的，应通过监理人以书面形式通知承包人，并说明不符合合同要求的具体内容。承包人应根据监理人的书面说明，对承包人文件进行修改后重新报送发包人审查，审查期重新起算。</w:t>
      </w:r>
    </w:p>
    <w:p w14:paraId="4F8ABF2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合同约定的审查期满，发包人没有做出审查结论也没有提出异议的，视为承包人的设计文件已获发包人同意。</w:t>
      </w:r>
    </w:p>
    <w:p w14:paraId="52CE8B8D">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5.3.2 </w:t>
      </w:r>
      <w:r>
        <w:rPr>
          <w:rFonts w:hint="eastAsia" w:ascii="宋体" w:hAnsi="宋体" w:cs="宋体"/>
          <w:sz w:val="22"/>
          <w:highlight w:val="none"/>
        </w:rPr>
        <w:t>承包人的设计文件不需要政府有关部门审查或批准的，承包人应当严格按照经发包人审查同意的设计文件设计和实施工程。</w:t>
      </w:r>
    </w:p>
    <w:p w14:paraId="4F84F1AF">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5.3.3 </w:t>
      </w:r>
      <w:r>
        <w:rPr>
          <w:rStyle w:val="16"/>
          <w:rFonts w:hint="eastAsia" w:ascii="宋体" w:hAnsi="宋体" w:cs="宋体"/>
          <w:vanish/>
          <w:sz w:val="22"/>
          <w:szCs w:val="22"/>
          <w:highlight w:val="none"/>
        </w:rPr>
        <w:t>（</w:t>
      </w:r>
      <w:r>
        <w:rPr>
          <w:rFonts w:hint="eastAsia" w:ascii="宋体" w:hAnsi="宋体" w:cs="宋体"/>
          <w:sz w:val="22"/>
          <w:highlight w:val="none"/>
        </w:rPr>
        <w:t>设计文件需政府有关部门审查或批准的，发包人应在审查同意承包人的设计文件后7天内，向政府有关部门报送设计文件，承包人应予以协助。</w:t>
      </w:r>
    </w:p>
    <w:p w14:paraId="7394D94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对于政府有关部门的审查意见，不需要修改发包人要求的，承包人需按该审查意见修改承包人的设计文件；需要修改发包人要求的，发包人应重新提出发包人要求，承包人应根据新提出的发包人要求修改承包人文件。上述情形还应适用第15条、第</w:t>
      </w:r>
      <w:r>
        <w:rPr>
          <w:rFonts w:hint="eastAsia" w:ascii="宋体" w:hAnsi="宋体" w:cs="宋体"/>
          <w:sz w:val="22"/>
          <w:szCs w:val="24"/>
          <w:highlight w:val="none"/>
        </w:rPr>
        <w:t>1.13</w:t>
      </w:r>
      <w:r>
        <w:rPr>
          <w:rFonts w:hint="eastAsia" w:ascii="宋体" w:hAnsi="宋体" w:cs="宋体"/>
          <w:sz w:val="22"/>
          <w:highlight w:val="none"/>
        </w:rPr>
        <w:t>款的有关约定。</w:t>
      </w:r>
    </w:p>
    <w:p w14:paraId="2D08FC45">
      <w:pPr>
        <w:spacing w:line="360" w:lineRule="auto"/>
        <w:ind w:firstLine="440" w:firstLineChars="200"/>
        <w:rPr>
          <w:rFonts w:hint="eastAsia" w:ascii="宋体" w:hAnsi="宋体" w:cs="宋体"/>
          <w:sz w:val="28"/>
          <w:szCs w:val="24"/>
          <w:highlight w:val="none"/>
        </w:rPr>
      </w:pPr>
      <w:r>
        <w:rPr>
          <w:rFonts w:hint="eastAsia" w:ascii="宋体" w:hAnsi="宋体" w:cs="宋体"/>
          <w:sz w:val="22"/>
          <w:highlight w:val="none"/>
        </w:rPr>
        <w:t>政府有关部门审查批准的，承包人应当严格按照批准后的承包人的设计文件设计和实施工程。</w:t>
      </w:r>
    </w:p>
    <w:p w14:paraId="1D820603">
      <w:pPr>
        <w:pStyle w:val="4"/>
        <w:spacing w:before="156" w:beforeLines="50"/>
        <w:rPr>
          <w:rFonts w:hint="eastAsia" w:ascii="宋体" w:hAnsi="宋体" w:cs="宋体"/>
          <w:sz w:val="36"/>
          <w:szCs w:val="28"/>
          <w:highlight w:val="none"/>
        </w:rPr>
      </w:pPr>
      <w:bookmarkStart w:id="168" w:name="_Toc480909821"/>
      <w:r>
        <w:rPr>
          <w:rFonts w:hint="eastAsia" w:ascii="宋体" w:hAnsi="宋体" w:cs="宋体"/>
          <w:sz w:val="36"/>
          <w:szCs w:val="28"/>
          <w:highlight w:val="none"/>
        </w:rPr>
        <w:t>5.4 培训</w:t>
      </w:r>
      <w:bookmarkEnd w:id="168"/>
    </w:p>
    <w:p w14:paraId="6B79869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承包人应按照发包人要求，对发包人的人员进行工程操作和维修方面的培训。合同约定接收之前进行培训的，应在第</w:t>
      </w:r>
      <w:r>
        <w:rPr>
          <w:rFonts w:hint="eastAsia" w:ascii="宋体" w:hAnsi="宋体" w:cs="宋体"/>
          <w:sz w:val="22"/>
          <w:szCs w:val="24"/>
          <w:highlight w:val="none"/>
        </w:rPr>
        <w:t>18.3</w:t>
      </w:r>
      <w:r>
        <w:rPr>
          <w:rFonts w:hint="eastAsia" w:ascii="宋体" w:hAnsi="宋体" w:cs="宋体"/>
          <w:sz w:val="22"/>
          <w:highlight w:val="none"/>
        </w:rPr>
        <w:t>款约定的竣工验收前完成培训。</w:t>
      </w:r>
    </w:p>
    <w:bookmarkEnd w:id="146"/>
    <w:bookmarkEnd w:id="147"/>
    <w:bookmarkEnd w:id="148"/>
    <w:bookmarkEnd w:id="149"/>
    <w:bookmarkEnd w:id="150"/>
    <w:p w14:paraId="6F6FBC2E">
      <w:pPr>
        <w:pStyle w:val="4"/>
        <w:spacing w:before="156" w:beforeLines="50"/>
        <w:rPr>
          <w:rFonts w:hint="eastAsia" w:ascii="宋体" w:hAnsi="宋体" w:cs="宋体"/>
          <w:sz w:val="36"/>
          <w:szCs w:val="28"/>
          <w:highlight w:val="none"/>
        </w:rPr>
      </w:pPr>
      <w:bookmarkStart w:id="169" w:name="_Toc480909822"/>
      <w:bookmarkStart w:id="170" w:name="_Toc468936971"/>
      <w:bookmarkStart w:id="171" w:name="_Toc487072797"/>
      <w:bookmarkStart w:id="172" w:name="_Toc247514080"/>
      <w:bookmarkStart w:id="173" w:name="_Toc247527681"/>
      <w:bookmarkStart w:id="174" w:name="_Toc297347663"/>
      <w:r>
        <w:rPr>
          <w:rFonts w:hint="eastAsia" w:ascii="宋体" w:hAnsi="宋体" w:cs="宋体"/>
          <w:sz w:val="36"/>
          <w:szCs w:val="28"/>
          <w:highlight w:val="none"/>
        </w:rPr>
        <w:t>5.5 竣工文件</w:t>
      </w:r>
      <w:bookmarkEnd w:id="169"/>
    </w:p>
    <w:p w14:paraId="1D586B7E">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5.5.1 承包人应编制并及时更新反映工程实施结果的竣工记录，如实记载竣工工程的确切位置、尺寸和已实施工作的详细说明。竣工记录应保存在施工场地，并在竣工试验开始前，按照专用合同条款约定的份数提交给监理人。</w:t>
      </w:r>
    </w:p>
    <w:p w14:paraId="795BF691">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5.5.2 在颁发工程接收证书之前，承包人应按照</w:t>
      </w:r>
      <w:r>
        <w:rPr>
          <w:rFonts w:hint="eastAsia" w:ascii="宋体" w:hAnsi="宋体" w:cs="宋体"/>
          <w:sz w:val="22"/>
          <w:highlight w:val="none"/>
        </w:rPr>
        <w:t>发包人要求</w:t>
      </w:r>
      <w:r>
        <w:rPr>
          <w:rFonts w:hint="eastAsia" w:ascii="宋体" w:hAnsi="宋体" w:cs="宋体"/>
          <w:sz w:val="22"/>
          <w:szCs w:val="24"/>
          <w:highlight w:val="none"/>
        </w:rPr>
        <w:t>的份数和形式向监理人提交相应竣工图纸，并取得监理人对尺寸、参照系统及其他有关细节的认可。监理人应按照第5.3款的约定进行审查。</w:t>
      </w:r>
    </w:p>
    <w:p w14:paraId="48AA0387">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5.5.3 在监理人收到上述文件前，不应认为工程已根据第18.3款和第18.5款约定完成验收。</w:t>
      </w:r>
    </w:p>
    <w:p w14:paraId="474CB29B">
      <w:pPr>
        <w:pStyle w:val="4"/>
        <w:spacing w:before="156" w:beforeLines="50"/>
        <w:rPr>
          <w:rFonts w:hint="eastAsia" w:ascii="宋体" w:hAnsi="宋体" w:cs="宋体"/>
          <w:sz w:val="36"/>
          <w:szCs w:val="28"/>
          <w:highlight w:val="none"/>
        </w:rPr>
      </w:pPr>
      <w:bookmarkStart w:id="175" w:name="_Toc480909823"/>
      <w:r>
        <w:rPr>
          <w:rFonts w:hint="eastAsia" w:ascii="宋体" w:hAnsi="宋体" w:cs="宋体"/>
          <w:sz w:val="36"/>
          <w:szCs w:val="28"/>
          <w:highlight w:val="none"/>
        </w:rPr>
        <w:t>5.6 操作和维修手册</w:t>
      </w:r>
      <w:bookmarkEnd w:id="175"/>
    </w:p>
    <w:p w14:paraId="29797695">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5.6.1 在竣工试验开始前，承包人应向监理人提交暂行的操作和维修手册，该手册应足够详细，以便发包人能够对生产设备进行操作、维修、拆卸、重新安装、调整及修理。</w:t>
      </w:r>
    </w:p>
    <w:p w14:paraId="6DDAD840">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5.6.2 承包人应提交足够详细的最终操作和维修手册，以及在</w:t>
      </w:r>
      <w:r>
        <w:rPr>
          <w:rFonts w:hint="eastAsia" w:ascii="宋体" w:hAnsi="宋体" w:cs="宋体"/>
          <w:sz w:val="22"/>
          <w:highlight w:val="none"/>
        </w:rPr>
        <w:t>发包人要求</w:t>
      </w:r>
      <w:r>
        <w:rPr>
          <w:rFonts w:hint="eastAsia" w:ascii="宋体" w:hAnsi="宋体" w:cs="宋体"/>
          <w:sz w:val="22"/>
          <w:szCs w:val="24"/>
          <w:highlight w:val="none"/>
        </w:rPr>
        <w:t>中明确的相关操作和维修手册。在监理人收到上述文件前，不应认为工程已根据第18.3款和第18.5款约定完成验收。</w:t>
      </w:r>
    </w:p>
    <w:bookmarkEnd w:id="170"/>
    <w:bookmarkEnd w:id="171"/>
    <w:bookmarkEnd w:id="172"/>
    <w:bookmarkEnd w:id="173"/>
    <w:bookmarkEnd w:id="174"/>
    <w:p w14:paraId="2C1ECCBD">
      <w:pPr>
        <w:pStyle w:val="4"/>
        <w:spacing w:before="156" w:beforeLines="50"/>
        <w:rPr>
          <w:rFonts w:hint="eastAsia" w:ascii="宋体" w:hAnsi="宋体" w:cs="宋体"/>
          <w:sz w:val="36"/>
          <w:szCs w:val="28"/>
          <w:highlight w:val="none"/>
        </w:rPr>
      </w:pPr>
      <w:bookmarkStart w:id="176" w:name="_Toc247527686"/>
      <w:bookmarkStart w:id="177" w:name="_Toc247514085"/>
      <w:bookmarkStart w:id="178" w:name="_Toc480909824"/>
      <w:r>
        <w:rPr>
          <w:rFonts w:hint="eastAsia" w:ascii="宋体" w:hAnsi="宋体" w:cs="宋体"/>
          <w:sz w:val="36"/>
          <w:szCs w:val="28"/>
          <w:highlight w:val="none"/>
        </w:rPr>
        <w:t>5.7 承包人文件错误</w:t>
      </w:r>
      <w:bookmarkEnd w:id="176"/>
      <w:bookmarkEnd w:id="177"/>
      <w:bookmarkEnd w:id="178"/>
    </w:p>
    <w:p w14:paraId="0EFAA64D">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承包人文件存在错误、遗漏、含混、矛盾、不充分之处或其他缺陷，无论承包人是否根据本款获得了批准，承包人均应自费对前述问题带来的缺陷和工程问题进行改正。</w:t>
      </w:r>
      <w:r>
        <w:rPr>
          <w:rFonts w:hint="eastAsia" w:ascii="宋体" w:hAnsi="宋体" w:cs="宋体"/>
          <w:sz w:val="22"/>
          <w:highlight w:val="none"/>
        </w:rPr>
        <w:t>第</w:t>
      </w:r>
      <w:r>
        <w:rPr>
          <w:rFonts w:hint="eastAsia" w:ascii="宋体" w:hAnsi="宋体" w:cs="宋体"/>
          <w:sz w:val="22"/>
          <w:szCs w:val="24"/>
          <w:highlight w:val="none"/>
        </w:rPr>
        <w:t>1.13</w:t>
      </w:r>
      <w:r>
        <w:rPr>
          <w:rFonts w:hint="eastAsia" w:ascii="宋体" w:hAnsi="宋体" w:cs="宋体"/>
          <w:sz w:val="22"/>
          <w:highlight w:val="none"/>
        </w:rPr>
        <w:t>款发包人要求的错误导致承包人文件错误</w:t>
      </w:r>
      <w:r>
        <w:rPr>
          <w:rFonts w:hint="eastAsia" w:ascii="宋体" w:hAnsi="宋体" w:cs="宋体"/>
          <w:sz w:val="22"/>
          <w:szCs w:val="24"/>
          <w:highlight w:val="none"/>
        </w:rPr>
        <w:t>、遗漏、含混、矛盾、不充分或其他缺陷的</w:t>
      </w:r>
      <w:r>
        <w:rPr>
          <w:rFonts w:hint="eastAsia" w:ascii="宋体" w:hAnsi="宋体" w:cs="宋体"/>
          <w:sz w:val="22"/>
          <w:highlight w:val="none"/>
        </w:rPr>
        <w:t>除外。</w:t>
      </w:r>
    </w:p>
    <w:p w14:paraId="5C8D4970">
      <w:pPr>
        <w:pStyle w:val="3"/>
        <w:spacing w:before="156" w:beforeLines="50" w:after="0" w:line="360" w:lineRule="auto"/>
        <w:rPr>
          <w:rFonts w:hint="eastAsia" w:ascii="宋体" w:hAnsi="宋体" w:cs="宋体"/>
          <w:b w:val="0"/>
          <w:highlight w:val="none"/>
        </w:rPr>
      </w:pPr>
      <w:bookmarkStart w:id="179" w:name="_Toc184635102"/>
      <w:bookmarkStart w:id="180" w:name="_Toc247527687"/>
      <w:bookmarkStart w:id="181" w:name="_Toc247514086"/>
      <w:bookmarkStart w:id="182" w:name="_Toc480909825"/>
      <w:r>
        <w:rPr>
          <w:rFonts w:hint="eastAsia" w:ascii="宋体" w:hAnsi="宋体" w:cs="宋体"/>
          <w:b w:val="0"/>
          <w:highlight w:val="none"/>
        </w:rPr>
        <w:t>6. 材料和工程设备</w:t>
      </w:r>
      <w:bookmarkEnd w:id="179"/>
      <w:bookmarkEnd w:id="180"/>
      <w:bookmarkEnd w:id="181"/>
      <w:bookmarkEnd w:id="182"/>
    </w:p>
    <w:p w14:paraId="3CD2BFE8">
      <w:pPr>
        <w:pStyle w:val="4"/>
        <w:spacing w:before="156" w:beforeLines="50"/>
        <w:rPr>
          <w:rFonts w:hint="eastAsia" w:ascii="宋体" w:hAnsi="宋体" w:cs="宋体"/>
          <w:sz w:val="36"/>
          <w:szCs w:val="28"/>
          <w:highlight w:val="none"/>
        </w:rPr>
      </w:pPr>
      <w:bookmarkStart w:id="183" w:name="_Toc247514087"/>
      <w:bookmarkStart w:id="184" w:name="_Toc247527688"/>
      <w:bookmarkStart w:id="185" w:name="_Toc480909826"/>
      <w:r>
        <w:rPr>
          <w:rFonts w:hint="eastAsia" w:ascii="宋体" w:hAnsi="宋体" w:cs="宋体"/>
          <w:sz w:val="36"/>
          <w:szCs w:val="28"/>
          <w:highlight w:val="none"/>
        </w:rPr>
        <w:t>6.1 承包人提供的材料和工程设备</w:t>
      </w:r>
      <w:bookmarkEnd w:id="183"/>
      <w:bookmarkEnd w:id="184"/>
      <w:bookmarkEnd w:id="185"/>
    </w:p>
    <w:p w14:paraId="0D951D5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6.1.1</w:t>
      </w:r>
      <w:r>
        <w:rPr>
          <w:rFonts w:hint="eastAsia" w:ascii="宋体" w:hAnsi="宋体" w:cs="宋体"/>
          <w:sz w:val="22"/>
          <w:highlight w:val="none"/>
        </w:rPr>
        <w:t xml:space="preserve"> 除专用合同条款另有约定外，承包人提供的材料和工程设备均由承包人负责采购、运输和保管。承包人应对其采购的材料和工程设备负责。</w:t>
      </w:r>
    </w:p>
    <w:p w14:paraId="5B750B03">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6.1.2</w:t>
      </w:r>
      <w:r>
        <w:rPr>
          <w:rFonts w:hint="eastAsia" w:ascii="宋体" w:hAnsi="宋体" w:cs="宋体"/>
          <w:sz w:val="22"/>
          <w:highlight w:val="none"/>
        </w:rPr>
        <w:t xml:space="preserve"> 承包人应按专用合同条款的约定，将各项材料和工程设备的供货人及品种、技术要求、规格、数量和供货时间等报送监理人批准。承包人应向监理人提交其负责提供的材料和工程设备的质量证明文件，并满足合同约定的质量标准。</w:t>
      </w:r>
    </w:p>
    <w:p w14:paraId="4A4C15D8">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6.1.3 </w:t>
      </w:r>
      <w:r>
        <w:rPr>
          <w:rFonts w:hint="eastAsia" w:ascii="宋体" w:hAnsi="宋体" w:cs="宋体"/>
          <w:sz w:val="22"/>
          <w:highlight w:val="none"/>
        </w:rPr>
        <w:t>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55BADE5F">
      <w:pPr>
        <w:pStyle w:val="4"/>
        <w:spacing w:before="156" w:beforeLines="50"/>
        <w:rPr>
          <w:rFonts w:hint="eastAsia" w:ascii="宋体" w:hAnsi="宋体" w:cs="宋体"/>
          <w:sz w:val="36"/>
          <w:szCs w:val="28"/>
          <w:highlight w:val="none"/>
        </w:rPr>
      </w:pPr>
      <w:bookmarkStart w:id="186" w:name="_Toc247527689"/>
      <w:bookmarkStart w:id="187" w:name="_Toc480909827"/>
      <w:bookmarkStart w:id="188" w:name="_Toc247514088"/>
      <w:r>
        <w:rPr>
          <w:rFonts w:hint="eastAsia" w:ascii="宋体" w:hAnsi="宋体" w:cs="宋体"/>
          <w:sz w:val="36"/>
          <w:szCs w:val="28"/>
          <w:highlight w:val="none"/>
        </w:rPr>
        <w:t>6.2 发包人提供的材料和工程设备</w:t>
      </w:r>
      <w:bookmarkEnd w:id="186"/>
      <w:bookmarkEnd w:id="187"/>
      <w:bookmarkEnd w:id="188"/>
    </w:p>
    <w:p w14:paraId="78B4D153">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6.2.1 </w:t>
      </w:r>
      <w:r>
        <w:rPr>
          <w:rFonts w:hint="eastAsia" w:ascii="宋体" w:hAnsi="宋体" w:cs="宋体"/>
          <w:sz w:val="22"/>
          <w:highlight w:val="none"/>
        </w:rPr>
        <w:t>专用合同条款约定发包人提供部分材料和工程设备的，应写明材料和工程设备的名称、规格、数量、价格、交货方式、交货地点等。</w:t>
      </w:r>
    </w:p>
    <w:p w14:paraId="4D2939CF">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6.2.2</w:t>
      </w:r>
      <w:r>
        <w:rPr>
          <w:rFonts w:hint="eastAsia" w:ascii="宋体" w:hAnsi="宋体" w:cs="宋体"/>
          <w:sz w:val="22"/>
          <w:highlight w:val="none"/>
        </w:rPr>
        <w:t xml:space="preserve"> 承包人应根据合同进度计划的安排，向监理人报送要求发包人交货的日期计划。发包人应按照监理人与合同双方当事人商定的交货日期，向承包人提交材料和工程设备。</w:t>
      </w:r>
    </w:p>
    <w:p w14:paraId="4FD23DD5">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6.2.3</w:t>
      </w:r>
      <w:r>
        <w:rPr>
          <w:rFonts w:hint="eastAsia" w:ascii="宋体" w:hAnsi="宋体" w:cs="宋体"/>
          <w:sz w:val="22"/>
          <w:highlight w:val="none"/>
        </w:rPr>
        <w:t xml:space="preserve"> 发包人应在材料和工程设备到货7 天前通知承包人，承包人应会同监理人在约定的时间内，赴交货地点共同进行验收。除专用合同条款另有约定外，发包人提供的材料和工程设备验收后，由承包人负责接</w:t>
      </w:r>
      <w:r>
        <w:rPr>
          <w:rFonts w:hint="eastAsia" w:ascii="宋体" w:hAnsi="宋体" w:cs="宋体"/>
          <w:sz w:val="22"/>
          <w:szCs w:val="24"/>
          <w:highlight w:val="none"/>
        </w:rPr>
        <w:t>收、运输和保管。</w:t>
      </w:r>
    </w:p>
    <w:p w14:paraId="7CEE4668">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6.2.4</w:t>
      </w:r>
      <w:r>
        <w:rPr>
          <w:rFonts w:hint="eastAsia" w:ascii="宋体" w:hAnsi="宋体" w:cs="宋体"/>
          <w:sz w:val="22"/>
          <w:highlight w:val="none"/>
        </w:rPr>
        <w:t>发包人要求向承包人提前交货的，承包人不得拒绝，但发包人应承担承包人由此增加的费用。</w:t>
      </w:r>
    </w:p>
    <w:p w14:paraId="43786D2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6.2.5</w:t>
      </w:r>
      <w:r>
        <w:rPr>
          <w:rFonts w:hint="eastAsia" w:ascii="宋体" w:hAnsi="宋体" w:cs="宋体"/>
          <w:sz w:val="22"/>
          <w:highlight w:val="none"/>
        </w:rPr>
        <w:t xml:space="preserve"> 承包人要求更改交货日期或地点的，应事先报请监理人批准。由于承包人要求更改交货时间或地点所增加的费用和（或）工期延误由承包人承担。</w:t>
      </w:r>
    </w:p>
    <w:p w14:paraId="5D75B263">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6.2.6</w:t>
      </w:r>
      <w:r>
        <w:rPr>
          <w:rFonts w:hint="eastAsia" w:ascii="宋体" w:hAnsi="宋体" w:cs="宋体"/>
          <w:sz w:val="22"/>
          <w:highlight w:val="none"/>
        </w:rPr>
        <w:t xml:space="preserve"> 发包人提供的材料和工程设备的规格、数量或质量不符合合同要求，或由于发包人原因发生交货日期延误及交货地点变更等情况的，发包人应承担由此增加的费用和（或）工期延误，并向承包人支付合理利润。</w:t>
      </w:r>
    </w:p>
    <w:p w14:paraId="568329F6">
      <w:pPr>
        <w:pStyle w:val="4"/>
        <w:spacing w:before="156" w:beforeLines="50"/>
        <w:ind w:firstLine="118"/>
        <w:rPr>
          <w:rFonts w:hint="eastAsia" w:ascii="宋体" w:hAnsi="宋体" w:cs="宋体"/>
          <w:sz w:val="36"/>
          <w:szCs w:val="28"/>
          <w:highlight w:val="none"/>
        </w:rPr>
      </w:pPr>
      <w:bookmarkStart w:id="189" w:name="_Toc247527690"/>
      <w:bookmarkStart w:id="190" w:name="_Toc247514089"/>
      <w:bookmarkStart w:id="191" w:name="_Toc480909828"/>
      <w:r>
        <w:rPr>
          <w:rFonts w:hint="eastAsia" w:ascii="宋体" w:hAnsi="宋体" w:cs="宋体"/>
          <w:sz w:val="36"/>
          <w:szCs w:val="28"/>
          <w:highlight w:val="none"/>
        </w:rPr>
        <w:t>6.3 专用于工程的</w:t>
      </w:r>
      <w:bookmarkEnd w:id="189"/>
      <w:bookmarkEnd w:id="190"/>
      <w:r>
        <w:rPr>
          <w:rFonts w:hint="eastAsia" w:ascii="宋体" w:hAnsi="宋体" w:cs="宋体"/>
          <w:sz w:val="36"/>
          <w:szCs w:val="28"/>
          <w:highlight w:val="none"/>
        </w:rPr>
        <w:t>材料和工程设备</w:t>
      </w:r>
      <w:bookmarkEnd w:id="191"/>
    </w:p>
    <w:p w14:paraId="55C8A81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6.3.1 运入施工场地的材料、工程设备，包括备品备件、安装专用工器具与随机资料，必须专用于合同约定范围内的工程，未经监理人同意，承包人不得运出施工场地或挪作他用。</w:t>
      </w:r>
    </w:p>
    <w:p w14:paraId="7A62917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24A25606">
      <w:pPr>
        <w:pStyle w:val="4"/>
        <w:spacing w:before="156" w:beforeLines="50"/>
        <w:rPr>
          <w:rFonts w:hint="eastAsia" w:ascii="宋体" w:hAnsi="宋体" w:cs="宋体"/>
          <w:sz w:val="36"/>
          <w:szCs w:val="28"/>
          <w:highlight w:val="none"/>
        </w:rPr>
      </w:pPr>
      <w:bookmarkStart w:id="192" w:name="_Toc480909829"/>
      <w:bookmarkStart w:id="193" w:name="_Toc247514090"/>
      <w:bookmarkStart w:id="194" w:name="_Toc247527691"/>
      <w:r>
        <w:rPr>
          <w:rFonts w:hint="eastAsia" w:ascii="宋体" w:hAnsi="宋体" w:cs="宋体"/>
          <w:sz w:val="36"/>
          <w:szCs w:val="28"/>
          <w:highlight w:val="none"/>
        </w:rPr>
        <w:t>6.4 实施方法</w:t>
      </w:r>
      <w:bookmarkEnd w:id="192"/>
    </w:p>
    <w:p w14:paraId="3F61812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承包人对材料的加工、工程设备的采购、制造、安装应当按照法律规定、合同约定以及行业习惯来实施。</w:t>
      </w:r>
    </w:p>
    <w:p w14:paraId="71644DD8">
      <w:pPr>
        <w:pStyle w:val="4"/>
        <w:spacing w:before="156" w:beforeLines="50"/>
        <w:rPr>
          <w:rFonts w:hint="eastAsia" w:ascii="宋体" w:hAnsi="宋体" w:cs="宋体"/>
          <w:sz w:val="36"/>
          <w:szCs w:val="28"/>
          <w:highlight w:val="none"/>
        </w:rPr>
      </w:pPr>
      <w:bookmarkStart w:id="195" w:name="_Toc480909830"/>
      <w:r>
        <w:rPr>
          <w:rFonts w:hint="eastAsia" w:ascii="宋体" w:hAnsi="宋体" w:cs="宋体"/>
          <w:sz w:val="36"/>
          <w:szCs w:val="28"/>
          <w:highlight w:val="none"/>
        </w:rPr>
        <w:t>6.5 禁止使用不合格的材料和工程设备</w:t>
      </w:r>
      <w:bookmarkEnd w:id="193"/>
      <w:bookmarkEnd w:id="194"/>
      <w:bookmarkEnd w:id="195"/>
    </w:p>
    <w:p w14:paraId="0EA6945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6.5.1</w:t>
      </w:r>
      <w:r>
        <w:rPr>
          <w:rFonts w:hint="eastAsia" w:ascii="宋体" w:hAnsi="宋体" w:cs="宋体"/>
          <w:sz w:val="22"/>
          <w:highlight w:val="none"/>
        </w:rPr>
        <w:t xml:space="preserve"> 监理人有权拒绝承包人提供的不合格材料或工程设备，并要求承包人立即进行更换。监理人应在更换后再次进行检查和检验，由此增加的费用和（或）工期延误由承包人承担。</w:t>
      </w:r>
    </w:p>
    <w:p w14:paraId="05741B9F">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6.5.2</w:t>
      </w:r>
      <w:r>
        <w:rPr>
          <w:rFonts w:hint="eastAsia" w:ascii="宋体" w:hAnsi="宋体" w:cs="宋体"/>
          <w:sz w:val="22"/>
          <w:highlight w:val="none"/>
        </w:rPr>
        <w:t xml:space="preserve"> 监理人发现承包人使用了不合格的材料和工程设备，应即时发出指示要求承包人立即改正，并禁止在工程中继续使用不合格的材料和工程设备。</w:t>
      </w:r>
    </w:p>
    <w:p w14:paraId="11A1256D">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6.5.3</w:t>
      </w:r>
      <w:r>
        <w:rPr>
          <w:rFonts w:hint="eastAsia" w:ascii="宋体" w:hAnsi="宋体" w:cs="宋体"/>
          <w:sz w:val="22"/>
          <w:highlight w:val="none"/>
        </w:rPr>
        <w:t xml:space="preserve"> 发包人提供的材料或工程设备不符合合同要求的，承包人有权拒绝，并可要求发包人更换，由此增加的费用和（或）工期延误由发包人承担。</w:t>
      </w:r>
    </w:p>
    <w:p w14:paraId="4DCB87AE">
      <w:pPr>
        <w:pStyle w:val="3"/>
        <w:spacing w:before="156" w:beforeLines="50" w:after="0" w:line="360" w:lineRule="auto"/>
        <w:rPr>
          <w:rFonts w:hint="eastAsia" w:ascii="宋体" w:hAnsi="宋体" w:cs="宋体"/>
          <w:b w:val="0"/>
          <w:highlight w:val="none"/>
        </w:rPr>
      </w:pPr>
      <w:bookmarkStart w:id="196" w:name="_Toc247527692"/>
      <w:bookmarkStart w:id="197" w:name="_Toc247514091"/>
      <w:bookmarkStart w:id="198" w:name="_Toc184635103"/>
      <w:bookmarkStart w:id="199" w:name="_Toc480909831"/>
      <w:r>
        <w:rPr>
          <w:rFonts w:hint="eastAsia" w:ascii="宋体" w:hAnsi="宋体" w:cs="宋体"/>
          <w:b w:val="0"/>
          <w:highlight w:val="none"/>
        </w:rPr>
        <w:t>7. 施工设备和临时设施</w:t>
      </w:r>
      <w:bookmarkEnd w:id="196"/>
      <w:bookmarkEnd w:id="197"/>
      <w:bookmarkEnd w:id="198"/>
      <w:bookmarkEnd w:id="199"/>
    </w:p>
    <w:p w14:paraId="6FB5DECD">
      <w:pPr>
        <w:pStyle w:val="4"/>
        <w:spacing w:before="156" w:beforeLines="50"/>
        <w:rPr>
          <w:rFonts w:hint="eastAsia" w:ascii="宋体" w:hAnsi="宋体" w:cs="宋体"/>
          <w:sz w:val="36"/>
          <w:szCs w:val="28"/>
          <w:highlight w:val="none"/>
        </w:rPr>
      </w:pPr>
      <w:bookmarkStart w:id="200" w:name="_Toc247527693"/>
      <w:bookmarkStart w:id="201" w:name="_Toc480909832"/>
      <w:bookmarkStart w:id="202" w:name="_Toc247514092"/>
      <w:r>
        <w:rPr>
          <w:rFonts w:hint="eastAsia" w:ascii="宋体" w:hAnsi="宋体" w:cs="宋体"/>
          <w:sz w:val="36"/>
          <w:szCs w:val="28"/>
          <w:highlight w:val="none"/>
        </w:rPr>
        <w:t>7.1 承包人提供的施工设备和临时设施</w:t>
      </w:r>
      <w:bookmarkEnd w:id="200"/>
      <w:bookmarkEnd w:id="201"/>
      <w:bookmarkEnd w:id="202"/>
    </w:p>
    <w:p w14:paraId="2576AD60">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7.1.1</w:t>
      </w:r>
      <w:r>
        <w:rPr>
          <w:rFonts w:hint="eastAsia" w:ascii="宋体" w:hAnsi="宋体" w:cs="宋体"/>
          <w:sz w:val="22"/>
          <w:highlight w:val="none"/>
        </w:rPr>
        <w:t xml:space="preserve"> 承包人应按合同进度计划的要求，及时配置施工设备和修建临时设施。进入施工场地的承包人设备需经监理人核查后才能投入使用。承包人更换合同约定的承包人设备的，应报监理人批准。</w:t>
      </w:r>
    </w:p>
    <w:p w14:paraId="1BEB9838">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7.1.2</w:t>
      </w:r>
      <w:r>
        <w:rPr>
          <w:rFonts w:hint="eastAsia" w:ascii="宋体" w:hAnsi="宋体" w:cs="宋体"/>
          <w:sz w:val="22"/>
          <w:highlight w:val="none"/>
        </w:rPr>
        <w:t xml:space="preserve"> 除专用合同条款另有约定外，承包人应自行承担修建临时设施的费用。需要临时占地的，应由发包人办理申请手续并承担相应费用。</w:t>
      </w:r>
    </w:p>
    <w:p w14:paraId="357921D8">
      <w:pPr>
        <w:pStyle w:val="4"/>
        <w:spacing w:before="156" w:beforeLines="50"/>
        <w:rPr>
          <w:rFonts w:hint="eastAsia" w:ascii="宋体" w:hAnsi="宋体" w:cs="宋体"/>
          <w:sz w:val="36"/>
          <w:szCs w:val="28"/>
          <w:highlight w:val="none"/>
        </w:rPr>
      </w:pPr>
      <w:bookmarkStart w:id="203" w:name="_Toc247514093"/>
      <w:bookmarkStart w:id="204" w:name="_Toc247527694"/>
      <w:bookmarkStart w:id="205" w:name="_Toc480909833"/>
      <w:r>
        <w:rPr>
          <w:rFonts w:hint="eastAsia" w:ascii="宋体" w:hAnsi="宋体" w:cs="宋体"/>
          <w:sz w:val="36"/>
          <w:szCs w:val="28"/>
          <w:highlight w:val="none"/>
        </w:rPr>
        <w:t>7.2 发包人提供的施工设备和临时设施</w:t>
      </w:r>
      <w:bookmarkEnd w:id="203"/>
      <w:bookmarkEnd w:id="204"/>
      <w:bookmarkEnd w:id="205"/>
    </w:p>
    <w:p w14:paraId="76D8679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发包人提供的施工设备或临时设施在专用合同条款中约定。</w:t>
      </w:r>
    </w:p>
    <w:p w14:paraId="19A12033">
      <w:pPr>
        <w:pStyle w:val="4"/>
        <w:spacing w:before="156" w:beforeLines="50"/>
        <w:rPr>
          <w:rFonts w:hint="eastAsia" w:ascii="宋体" w:hAnsi="宋体" w:cs="宋体"/>
          <w:sz w:val="36"/>
          <w:szCs w:val="28"/>
          <w:highlight w:val="none"/>
        </w:rPr>
      </w:pPr>
      <w:bookmarkStart w:id="206" w:name="_Toc480909834"/>
      <w:bookmarkStart w:id="207" w:name="_Toc247527695"/>
      <w:bookmarkStart w:id="208" w:name="_Toc247514094"/>
      <w:r>
        <w:rPr>
          <w:rFonts w:hint="eastAsia" w:ascii="宋体" w:hAnsi="宋体" w:cs="宋体"/>
          <w:sz w:val="36"/>
          <w:szCs w:val="28"/>
          <w:highlight w:val="none"/>
        </w:rPr>
        <w:t>7.3 要求承包人增加或更换施工设备</w:t>
      </w:r>
      <w:bookmarkEnd w:id="206"/>
      <w:bookmarkEnd w:id="207"/>
      <w:bookmarkEnd w:id="208"/>
    </w:p>
    <w:p w14:paraId="5D07ACE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承包人使用的施工设备不能满足合同进度计划和（或）质量标准时，监理人有权要求承包人增加或更换施工设备，承包人应及时增加或更换，由此增加的费用和（或）工期延误由承包人承担。</w:t>
      </w:r>
    </w:p>
    <w:p w14:paraId="04918454">
      <w:pPr>
        <w:pStyle w:val="4"/>
        <w:spacing w:before="156" w:beforeLines="50"/>
        <w:rPr>
          <w:rFonts w:hint="eastAsia" w:ascii="宋体" w:hAnsi="宋体" w:cs="宋体"/>
          <w:sz w:val="36"/>
          <w:szCs w:val="28"/>
          <w:highlight w:val="none"/>
        </w:rPr>
      </w:pPr>
      <w:bookmarkStart w:id="209" w:name="_Toc480909835"/>
      <w:bookmarkStart w:id="210" w:name="_Toc247514095"/>
      <w:bookmarkStart w:id="211" w:name="_Toc247527696"/>
      <w:r>
        <w:rPr>
          <w:rFonts w:hint="eastAsia" w:ascii="宋体" w:hAnsi="宋体" w:cs="宋体"/>
          <w:sz w:val="36"/>
          <w:szCs w:val="28"/>
          <w:highlight w:val="none"/>
        </w:rPr>
        <w:t>7.4 施工设备和临时设施专用于合同工程</w:t>
      </w:r>
      <w:bookmarkEnd w:id="209"/>
      <w:bookmarkEnd w:id="210"/>
      <w:bookmarkEnd w:id="211"/>
    </w:p>
    <w:p w14:paraId="44BEFD77">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7.4.1</w:t>
      </w:r>
      <w:r>
        <w:rPr>
          <w:rFonts w:hint="eastAsia" w:ascii="宋体" w:hAnsi="宋体" w:cs="宋体"/>
          <w:sz w:val="22"/>
          <w:highlight w:val="none"/>
        </w:rPr>
        <w:t xml:space="preserve"> 除合同另有约定外，运入施工场地的所有施工设备以及在施工场地建设的临时设施应专用于合同工程。未经监理人同意，不得将上述施工设备和临时设施中的任何部分运出施工场地或挪作他用。</w:t>
      </w:r>
    </w:p>
    <w:p w14:paraId="7A9B430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7.4.2</w:t>
      </w:r>
      <w:r>
        <w:rPr>
          <w:rFonts w:hint="eastAsia" w:ascii="宋体" w:hAnsi="宋体" w:cs="宋体"/>
          <w:sz w:val="22"/>
          <w:highlight w:val="none"/>
        </w:rPr>
        <w:t xml:space="preserve"> 经监理人同意，承包人可根据合同进度计划撤走闲置的施工设备。</w:t>
      </w:r>
    </w:p>
    <w:p w14:paraId="3BF06CA0">
      <w:pPr>
        <w:pStyle w:val="3"/>
        <w:spacing w:before="156" w:beforeLines="50" w:after="0" w:line="360" w:lineRule="auto"/>
        <w:rPr>
          <w:rFonts w:hint="eastAsia" w:ascii="宋体" w:hAnsi="宋体" w:cs="宋体"/>
          <w:b w:val="0"/>
          <w:highlight w:val="none"/>
        </w:rPr>
      </w:pPr>
      <w:bookmarkStart w:id="212" w:name="_Toc247514096"/>
      <w:bookmarkStart w:id="213" w:name="_Toc247527697"/>
      <w:bookmarkStart w:id="214" w:name="_Toc480909836"/>
      <w:bookmarkStart w:id="215" w:name="_Toc184635104"/>
      <w:r>
        <w:rPr>
          <w:rFonts w:hint="eastAsia" w:ascii="宋体" w:hAnsi="宋体" w:cs="宋体"/>
          <w:b w:val="0"/>
          <w:highlight w:val="none"/>
        </w:rPr>
        <w:t>8. 交通运输</w:t>
      </w:r>
      <w:bookmarkEnd w:id="212"/>
      <w:bookmarkEnd w:id="213"/>
      <w:bookmarkEnd w:id="214"/>
      <w:bookmarkEnd w:id="215"/>
    </w:p>
    <w:p w14:paraId="2F1CA090">
      <w:pPr>
        <w:pStyle w:val="4"/>
        <w:spacing w:before="156" w:beforeLines="50"/>
        <w:rPr>
          <w:rFonts w:hint="eastAsia" w:ascii="宋体" w:hAnsi="宋体" w:cs="宋体"/>
          <w:sz w:val="36"/>
          <w:szCs w:val="28"/>
          <w:highlight w:val="none"/>
        </w:rPr>
      </w:pPr>
      <w:bookmarkStart w:id="216" w:name="_Toc480909837"/>
      <w:r>
        <w:rPr>
          <w:rFonts w:hint="eastAsia" w:ascii="宋体" w:hAnsi="宋体" w:cs="宋体"/>
          <w:sz w:val="36"/>
          <w:szCs w:val="28"/>
          <w:highlight w:val="none"/>
        </w:rPr>
        <w:t>8.1 道路通行权和场外设施</w:t>
      </w:r>
      <w:bookmarkEnd w:id="216"/>
    </w:p>
    <w:p w14:paraId="7856F72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承包人应根据工程的施工需要，负责办理取得出入施工场地的专用和临时道路的通行权，以及取得为工程建设所需修建场外设施的权利，并承担有关费用。发包人应协助承包人办理上述手续。</w:t>
      </w:r>
    </w:p>
    <w:p w14:paraId="63BB0D98">
      <w:pPr>
        <w:pStyle w:val="4"/>
        <w:spacing w:before="156" w:beforeLines="50"/>
        <w:rPr>
          <w:rFonts w:hint="eastAsia" w:ascii="宋体" w:hAnsi="宋体" w:cs="宋体"/>
          <w:sz w:val="36"/>
          <w:szCs w:val="28"/>
          <w:highlight w:val="none"/>
        </w:rPr>
      </w:pPr>
      <w:bookmarkStart w:id="217" w:name="_Toc247527699"/>
      <w:bookmarkStart w:id="218" w:name="_Toc247514098"/>
      <w:bookmarkStart w:id="219" w:name="_Toc480909838"/>
      <w:r>
        <w:rPr>
          <w:rFonts w:hint="eastAsia" w:ascii="宋体" w:hAnsi="宋体" w:cs="宋体"/>
          <w:sz w:val="36"/>
          <w:szCs w:val="28"/>
          <w:highlight w:val="none"/>
        </w:rPr>
        <w:t>8.2 场内施工道路</w:t>
      </w:r>
      <w:bookmarkEnd w:id="217"/>
      <w:bookmarkEnd w:id="218"/>
      <w:bookmarkEnd w:id="219"/>
    </w:p>
    <w:p w14:paraId="6FEB045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8.2.1</w:t>
      </w:r>
      <w:r>
        <w:rPr>
          <w:rFonts w:hint="eastAsia" w:ascii="宋体" w:hAnsi="宋体" w:cs="宋体"/>
          <w:sz w:val="22"/>
          <w:highlight w:val="none"/>
        </w:rPr>
        <w:t xml:space="preserve"> 除专用合同条款另有约定外，承包人应负责修建、维修、养护和管理施工所需的临时道路和交通设施，包括维修、养护和管理发包人提供的道路和交通设施，并承担相应费用。</w:t>
      </w:r>
    </w:p>
    <w:p w14:paraId="195A3690">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8.2.2</w:t>
      </w:r>
      <w:r>
        <w:rPr>
          <w:rFonts w:hint="eastAsia" w:ascii="宋体" w:hAnsi="宋体" w:cs="宋体"/>
          <w:sz w:val="22"/>
          <w:highlight w:val="none"/>
        </w:rPr>
        <w:t xml:space="preserve"> 除专用合同条款另有约定外，承包人修建的临时道路和交通设施应免费提供发包人和监理人为实现合同目的使用。</w:t>
      </w:r>
    </w:p>
    <w:p w14:paraId="493460DB">
      <w:pPr>
        <w:pStyle w:val="4"/>
        <w:spacing w:before="156" w:beforeLines="50"/>
        <w:rPr>
          <w:rFonts w:hint="eastAsia" w:ascii="宋体" w:hAnsi="宋体" w:cs="宋体"/>
          <w:sz w:val="36"/>
          <w:szCs w:val="28"/>
          <w:highlight w:val="none"/>
        </w:rPr>
      </w:pPr>
      <w:bookmarkStart w:id="220" w:name="_Toc247527700"/>
      <w:bookmarkStart w:id="221" w:name="_Toc480909839"/>
      <w:bookmarkStart w:id="222" w:name="_Toc247514099"/>
      <w:r>
        <w:rPr>
          <w:rFonts w:hint="eastAsia" w:ascii="宋体" w:hAnsi="宋体" w:cs="宋体"/>
          <w:sz w:val="36"/>
          <w:szCs w:val="28"/>
          <w:highlight w:val="none"/>
        </w:rPr>
        <w:t>8.3 场外交通</w:t>
      </w:r>
      <w:bookmarkEnd w:id="220"/>
      <w:bookmarkEnd w:id="221"/>
      <w:bookmarkEnd w:id="222"/>
    </w:p>
    <w:p w14:paraId="4699D1F6">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8.3.1</w:t>
      </w:r>
      <w:r>
        <w:rPr>
          <w:rFonts w:hint="eastAsia" w:ascii="宋体" w:hAnsi="宋体" w:cs="宋体"/>
          <w:sz w:val="22"/>
          <w:highlight w:val="none"/>
        </w:rPr>
        <w:t xml:space="preserve"> 承包人车辆外出行驶所需的场外公共道路的通行费、养路费和税款等由承包人承担。</w:t>
      </w:r>
    </w:p>
    <w:p w14:paraId="352D04C5">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8.3.2</w:t>
      </w:r>
      <w:r>
        <w:rPr>
          <w:rFonts w:hint="eastAsia" w:ascii="宋体" w:hAnsi="宋体" w:cs="宋体"/>
          <w:sz w:val="22"/>
          <w:highlight w:val="none"/>
        </w:rPr>
        <w:t xml:space="preserve"> 承包人应遵守有关交通法规，严格按照道路和桥梁的限制荷重安全行驶，并服从交通管理部门的检查和监督。</w:t>
      </w:r>
    </w:p>
    <w:p w14:paraId="4A796C0A">
      <w:pPr>
        <w:pStyle w:val="4"/>
        <w:spacing w:before="156" w:beforeLines="50"/>
        <w:rPr>
          <w:rFonts w:hint="eastAsia" w:ascii="宋体" w:hAnsi="宋体" w:cs="宋体"/>
          <w:sz w:val="36"/>
          <w:szCs w:val="28"/>
          <w:highlight w:val="none"/>
        </w:rPr>
      </w:pPr>
      <w:bookmarkStart w:id="223" w:name="_Toc480909840"/>
      <w:bookmarkStart w:id="224" w:name="_Toc247514100"/>
      <w:bookmarkStart w:id="225" w:name="_Toc247527701"/>
      <w:r>
        <w:rPr>
          <w:rFonts w:hint="eastAsia" w:ascii="宋体" w:hAnsi="宋体" w:cs="宋体"/>
          <w:sz w:val="36"/>
          <w:szCs w:val="28"/>
          <w:highlight w:val="none"/>
        </w:rPr>
        <w:t>8.4 超大件和超重件的运输</w:t>
      </w:r>
      <w:bookmarkEnd w:id="223"/>
      <w:bookmarkEnd w:id="224"/>
      <w:bookmarkEnd w:id="225"/>
    </w:p>
    <w:p w14:paraId="178896E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5AE1B59D">
      <w:pPr>
        <w:pStyle w:val="4"/>
        <w:spacing w:before="156" w:beforeLines="50"/>
        <w:rPr>
          <w:rFonts w:hint="eastAsia" w:ascii="宋体" w:hAnsi="宋体" w:cs="宋体"/>
          <w:sz w:val="36"/>
          <w:szCs w:val="28"/>
          <w:highlight w:val="none"/>
        </w:rPr>
      </w:pPr>
      <w:bookmarkStart w:id="226" w:name="_Toc247527702"/>
      <w:bookmarkStart w:id="227" w:name="_Toc480909841"/>
      <w:bookmarkStart w:id="228" w:name="_Toc247514101"/>
      <w:r>
        <w:rPr>
          <w:rFonts w:hint="eastAsia" w:ascii="宋体" w:hAnsi="宋体" w:cs="宋体"/>
          <w:sz w:val="36"/>
          <w:szCs w:val="28"/>
          <w:highlight w:val="none"/>
        </w:rPr>
        <w:t>8.5 道路和桥梁的损坏责任</w:t>
      </w:r>
      <w:bookmarkEnd w:id="226"/>
      <w:bookmarkEnd w:id="227"/>
      <w:bookmarkEnd w:id="228"/>
    </w:p>
    <w:p w14:paraId="46E10B8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因承包人运输造成施工场地内外公共道路和桥梁损坏的，由承包人承担修复损坏的全部费用和可能引起的赔偿。</w:t>
      </w:r>
    </w:p>
    <w:p w14:paraId="05C45F60">
      <w:pPr>
        <w:pStyle w:val="4"/>
        <w:spacing w:before="156" w:beforeLines="50"/>
        <w:rPr>
          <w:rFonts w:hint="eastAsia" w:ascii="宋体" w:hAnsi="宋体" w:cs="宋体"/>
          <w:sz w:val="36"/>
          <w:szCs w:val="28"/>
          <w:highlight w:val="none"/>
        </w:rPr>
      </w:pPr>
      <w:bookmarkStart w:id="229" w:name="_Toc480909842"/>
      <w:bookmarkStart w:id="230" w:name="_Toc247514102"/>
      <w:bookmarkStart w:id="231" w:name="_Toc247527703"/>
      <w:r>
        <w:rPr>
          <w:rFonts w:hint="eastAsia" w:ascii="宋体" w:hAnsi="宋体" w:cs="宋体"/>
          <w:sz w:val="36"/>
          <w:szCs w:val="28"/>
          <w:highlight w:val="none"/>
        </w:rPr>
        <w:t>8.6 水路和航空运输</w:t>
      </w:r>
      <w:bookmarkEnd w:id="229"/>
      <w:bookmarkEnd w:id="230"/>
      <w:bookmarkEnd w:id="231"/>
    </w:p>
    <w:p w14:paraId="7230B67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本条上述各款的内容适用于水路运输和航空运输，其中“道路”一词的涵义包括河道、航线、船闸、机场、码头、堤防以及水路或航空运输中其他相似结构物；“车辆”一词的涵义包括船舶和飞机等。</w:t>
      </w:r>
    </w:p>
    <w:p w14:paraId="3B7C4DCA">
      <w:pPr>
        <w:pStyle w:val="3"/>
        <w:spacing w:before="156" w:beforeLines="50" w:after="0" w:line="360" w:lineRule="auto"/>
        <w:rPr>
          <w:rFonts w:hint="eastAsia" w:ascii="宋体" w:hAnsi="宋体" w:cs="宋体"/>
          <w:b w:val="0"/>
          <w:highlight w:val="none"/>
        </w:rPr>
      </w:pPr>
      <w:bookmarkStart w:id="232" w:name="_Toc480909843"/>
      <w:bookmarkStart w:id="233" w:name="_Toc247527704"/>
      <w:bookmarkStart w:id="234" w:name="_Toc184635105"/>
      <w:bookmarkStart w:id="235" w:name="_Toc247514103"/>
      <w:r>
        <w:rPr>
          <w:rFonts w:hint="eastAsia" w:ascii="宋体" w:hAnsi="宋体" w:cs="宋体"/>
          <w:b w:val="0"/>
          <w:highlight w:val="none"/>
        </w:rPr>
        <w:t>9. 测量放线</w:t>
      </w:r>
      <w:bookmarkEnd w:id="232"/>
      <w:bookmarkEnd w:id="233"/>
      <w:bookmarkEnd w:id="234"/>
      <w:bookmarkEnd w:id="235"/>
    </w:p>
    <w:p w14:paraId="43C0622B">
      <w:pPr>
        <w:pStyle w:val="4"/>
        <w:spacing w:before="156" w:beforeLines="50"/>
        <w:rPr>
          <w:rFonts w:hint="eastAsia" w:ascii="宋体" w:hAnsi="宋体" w:cs="宋体"/>
          <w:sz w:val="36"/>
          <w:szCs w:val="28"/>
          <w:highlight w:val="none"/>
        </w:rPr>
      </w:pPr>
      <w:bookmarkStart w:id="236" w:name="_Toc480909844"/>
      <w:bookmarkStart w:id="237" w:name="_Toc247514104"/>
      <w:bookmarkStart w:id="238" w:name="_Toc247527705"/>
      <w:r>
        <w:rPr>
          <w:rFonts w:hint="eastAsia" w:ascii="宋体" w:hAnsi="宋体" w:cs="宋体"/>
          <w:sz w:val="36"/>
          <w:szCs w:val="28"/>
          <w:highlight w:val="none"/>
        </w:rPr>
        <w:t>9.1 施工控制网</w:t>
      </w:r>
      <w:bookmarkEnd w:id="236"/>
      <w:bookmarkEnd w:id="237"/>
      <w:bookmarkEnd w:id="238"/>
    </w:p>
    <w:p w14:paraId="2F02AEA6">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9.1.1 </w:t>
      </w:r>
      <w:r>
        <w:rPr>
          <w:rFonts w:hint="eastAsia" w:ascii="宋体" w:hAnsi="宋体" w:cs="宋体"/>
          <w:sz w:val="22"/>
          <w:highlight w:val="none"/>
        </w:rPr>
        <w:t>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批准。</w:t>
      </w:r>
    </w:p>
    <w:p w14:paraId="04B64455">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9.1.2</w:t>
      </w:r>
      <w:r>
        <w:rPr>
          <w:rFonts w:hint="eastAsia" w:ascii="宋体" w:hAnsi="宋体" w:cs="宋体"/>
          <w:sz w:val="22"/>
          <w:highlight w:val="none"/>
        </w:rPr>
        <w:t xml:space="preserve"> 承包人应负责管理施工控制网点。施工控制网点丢失或损坏的，承包人应及时修复。承包人应承担施工控制网点的管理与修复费用，并在工程竣工后将施工控制网点移交发包人。</w:t>
      </w:r>
    </w:p>
    <w:p w14:paraId="129CA03A">
      <w:pPr>
        <w:pStyle w:val="4"/>
        <w:spacing w:before="156" w:beforeLines="50"/>
        <w:rPr>
          <w:rFonts w:hint="eastAsia" w:ascii="宋体" w:hAnsi="宋体" w:cs="宋体"/>
          <w:sz w:val="36"/>
          <w:szCs w:val="28"/>
          <w:highlight w:val="none"/>
        </w:rPr>
      </w:pPr>
      <w:bookmarkStart w:id="239" w:name="_Toc480909845"/>
      <w:bookmarkStart w:id="240" w:name="_Toc247527706"/>
      <w:bookmarkStart w:id="241" w:name="_Toc247514105"/>
      <w:r>
        <w:rPr>
          <w:rFonts w:hint="eastAsia" w:ascii="宋体" w:hAnsi="宋体" w:cs="宋体"/>
          <w:sz w:val="36"/>
          <w:szCs w:val="28"/>
          <w:highlight w:val="none"/>
        </w:rPr>
        <w:t>9.2 施工测量</w:t>
      </w:r>
      <w:bookmarkEnd w:id="239"/>
      <w:bookmarkEnd w:id="240"/>
      <w:bookmarkEnd w:id="241"/>
    </w:p>
    <w:p w14:paraId="7474A54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9.2.1 </w:t>
      </w:r>
      <w:r>
        <w:rPr>
          <w:rFonts w:hint="eastAsia" w:ascii="宋体" w:hAnsi="宋体" w:cs="宋体"/>
          <w:sz w:val="22"/>
          <w:highlight w:val="none"/>
        </w:rPr>
        <w:t>承包人应负责施工过程中的全部施工测量放线工作，并配置合格的人员、仪器、设备和其他物品。</w:t>
      </w:r>
    </w:p>
    <w:p w14:paraId="52125969">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9.2.2 </w:t>
      </w:r>
      <w:r>
        <w:rPr>
          <w:rFonts w:hint="eastAsia" w:ascii="宋体" w:hAnsi="宋体" w:cs="宋体"/>
          <w:sz w:val="22"/>
          <w:highlight w:val="none"/>
        </w:rPr>
        <w:t>监理人可以指示承包人进行抽样复测，当复测中发现错误或出现超过合同约定的误差时，承包人应按监理人指示进行修正或补测，并承担相应的复测费用。</w:t>
      </w:r>
    </w:p>
    <w:p w14:paraId="6E5C7780">
      <w:pPr>
        <w:pStyle w:val="4"/>
        <w:spacing w:before="156" w:beforeLines="50"/>
        <w:rPr>
          <w:rFonts w:hint="eastAsia" w:ascii="宋体" w:hAnsi="宋体" w:cs="宋体"/>
          <w:sz w:val="36"/>
          <w:szCs w:val="28"/>
          <w:highlight w:val="none"/>
        </w:rPr>
      </w:pPr>
      <w:bookmarkStart w:id="242" w:name="_Toc247514106"/>
      <w:bookmarkStart w:id="243" w:name="_Toc480909846"/>
      <w:bookmarkStart w:id="244" w:name="_Toc247527707"/>
      <w:r>
        <w:rPr>
          <w:rFonts w:hint="eastAsia" w:ascii="宋体" w:hAnsi="宋体" w:cs="宋体"/>
          <w:sz w:val="36"/>
          <w:szCs w:val="28"/>
          <w:highlight w:val="none"/>
        </w:rPr>
        <w:t>9.3 基准资料错误的责任</w:t>
      </w:r>
      <w:bookmarkEnd w:id="242"/>
      <w:bookmarkEnd w:id="243"/>
      <w:bookmarkEnd w:id="244"/>
    </w:p>
    <w:p w14:paraId="25EB518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对其提供的测量基准点、基准线和水准点及其书面资料的真实性、准确性和完整性负责，对其提供上述基准资料错误导致承包人损失的，发包人应当承担由此增加的费用和（或）工期延误，并向承包人支付合理利润。承包人应在设计或施工中对上述资料的准确性进行核实，发现存在明显错误或疏忽的，应及时通知监理人。</w:t>
      </w:r>
    </w:p>
    <w:p w14:paraId="5A88A4D3">
      <w:pPr>
        <w:pStyle w:val="4"/>
        <w:spacing w:before="156" w:beforeLines="50"/>
        <w:rPr>
          <w:rFonts w:hint="eastAsia" w:ascii="宋体" w:hAnsi="宋体" w:cs="宋体"/>
          <w:sz w:val="36"/>
          <w:szCs w:val="28"/>
          <w:highlight w:val="none"/>
        </w:rPr>
      </w:pPr>
      <w:bookmarkStart w:id="245" w:name="_Toc480909847"/>
      <w:bookmarkStart w:id="246" w:name="_Toc247514107"/>
      <w:bookmarkStart w:id="247" w:name="_Toc247527708"/>
      <w:r>
        <w:rPr>
          <w:rFonts w:hint="eastAsia" w:ascii="宋体" w:hAnsi="宋体" w:cs="宋体"/>
          <w:sz w:val="36"/>
          <w:szCs w:val="28"/>
          <w:highlight w:val="none"/>
        </w:rPr>
        <w:t>9.4 监理人使用施工控制网</w:t>
      </w:r>
      <w:bookmarkEnd w:id="245"/>
      <w:bookmarkEnd w:id="246"/>
      <w:bookmarkEnd w:id="247"/>
    </w:p>
    <w:p w14:paraId="1037597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监理人需要使用施工控制网的，承包人应提供必要的协助，发包人不再为此支付费用。</w:t>
      </w:r>
    </w:p>
    <w:p w14:paraId="7B6DF6D5">
      <w:pPr>
        <w:pStyle w:val="3"/>
        <w:spacing w:before="156" w:beforeLines="50" w:after="0" w:line="360" w:lineRule="auto"/>
        <w:rPr>
          <w:rFonts w:hint="eastAsia" w:ascii="宋体" w:hAnsi="宋体" w:cs="宋体"/>
          <w:b w:val="0"/>
          <w:highlight w:val="none"/>
        </w:rPr>
      </w:pPr>
      <w:bookmarkStart w:id="248" w:name="_Toc247527709"/>
      <w:bookmarkStart w:id="249" w:name="_Toc184635106"/>
      <w:bookmarkStart w:id="250" w:name="_Toc480909848"/>
      <w:bookmarkStart w:id="251" w:name="_Toc247514108"/>
      <w:r>
        <w:rPr>
          <w:rFonts w:hint="eastAsia" w:ascii="宋体" w:hAnsi="宋体" w:cs="宋体"/>
          <w:b w:val="0"/>
          <w:highlight w:val="none"/>
        </w:rPr>
        <w:t>10. 安全、治安保卫和环境保护</w:t>
      </w:r>
      <w:bookmarkEnd w:id="248"/>
      <w:bookmarkEnd w:id="249"/>
      <w:bookmarkEnd w:id="250"/>
      <w:bookmarkEnd w:id="251"/>
    </w:p>
    <w:p w14:paraId="456EAE46">
      <w:pPr>
        <w:pStyle w:val="4"/>
        <w:spacing w:before="156" w:beforeLines="50"/>
        <w:rPr>
          <w:rFonts w:hint="eastAsia" w:ascii="宋体" w:hAnsi="宋体" w:cs="宋体"/>
          <w:sz w:val="36"/>
          <w:szCs w:val="28"/>
          <w:highlight w:val="none"/>
        </w:rPr>
      </w:pPr>
      <w:bookmarkStart w:id="252" w:name="_Toc480909849"/>
      <w:bookmarkStart w:id="253" w:name="_Toc247527710"/>
      <w:bookmarkStart w:id="254" w:name="_Toc247514109"/>
      <w:r>
        <w:rPr>
          <w:rFonts w:hint="eastAsia" w:ascii="宋体" w:hAnsi="宋体" w:cs="宋体"/>
          <w:sz w:val="36"/>
          <w:szCs w:val="28"/>
          <w:highlight w:val="none"/>
        </w:rPr>
        <w:t>10.1 发包人的安全责任</w:t>
      </w:r>
      <w:bookmarkEnd w:id="252"/>
      <w:bookmarkEnd w:id="253"/>
      <w:bookmarkEnd w:id="254"/>
    </w:p>
    <w:p w14:paraId="776C2AE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10.1.1</w:t>
      </w:r>
      <w:r>
        <w:rPr>
          <w:rFonts w:hint="eastAsia" w:ascii="宋体" w:hAnsi="宋体" w:cs="宋体"/>
          <w:sz w:val="22"/>
          <w:highlight w:val="none"/>
        </w:rPr>
        <w:t xml:space="preserve"> 发包人应按合同约定履行安全职责，授权监理人按合同约定的安全工作内容监督、检查承包人安全工作的实施，组织承包人和有关单位进行安全检查。</w:t>
      </w:r>
    </w:p>
    <w:p w14:paraId="32BEF5F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10.1.2</w:t>
      </w:r>
      <w:r>
        <w:rPr>
          <w:rFonts w:hint="eastAsia" w:ascii="宋体" w:hAnsi="宋体" w:cs="宋体"/>
          <w:sz w:val="22"/>
          <w:highlight w:val="none"/>
        </w:rPr>
        <w:t xml:space="preserve"> 发包人应对其现场机构雇佣的全部人员的工伤事故承担责任，但由于承包人原因造成发包人人员工伤的，应由承包人承担责任。</w:t>
      </w:r>
    </w:p>
    <w:p w14:paraId="1FEA741D">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10.1.3</w:t>
      </w:r>
      <w:r>
        <w:rPr>
          <w:rFonts w:hint="eastAsia" w:ascii="宋体" w:hAnsi="宋体" w:cs="宋体"/>
          <w:sz w:val="22"/>
          <w:highlight w:val="none"/>
        </w:rPr>
        <w:t xml:space="preserve"> 发包人应负责赔偿以下各种情况造成的第三者人身伤亡和财产损失：</w:t>
      </w:r>
    </w:p>
    <w:p w14:paraId="386C8674">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（1）工程或工程的任何部分对土地的占用所造成的第三者财产损失；</w:t>
      </w:r>
    </w:p>
    <w:p w14:paraId="24CC0F45">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（2）由于发包人原</w:t>
      </w:r>
      <w:r>
        <w:rPr>
          <w:rFonts w:hint="eastAsia" w:ascii="宋体" w:hAnsi="宋体" w:cs="宋体"/>
          <w:sz w:val="22"/>
          <w:highlight w:val="none"/>
        </w:rPr>
        <w:t>因在施工场地及其毗邻地带、履行合同工作中造成的第三者人身伤亡和财产损失。</w:t>
      </w:r>
    </w:p>
    <w:p w14:paraId="2755A93B">
      <w:pPr>
        <w:pStyle w:val="4"/>
        <w:spacing w:before="156" w:beforeLines="50"/>
        <w:rPr>
          <w:rFonts w:hint="eastAsia" w:ascii="宋体" w:hAnsi="宋体" w:cs="宋体"/>
          <w:sz w:val="36"/>
          <w:szCs w:val="28"/>
          <w:highlight w:val="none"/>
        </w:rPr>
      </w:pPr>
      <w:bookmarkStart w:id="255" w:name="_Toc480909850"/>
      <w:bookmarkStart w:id="256" w:name="_Toc247527711"/>
      <w:bookmarkStart w:id="257" w:name="_Toc247514110"/>
      <w:r>
        <w:rPr>
          <w:rFonts w:hint="eastAsia" w:ascii="宋体" w:hAnsi="宋体" w:cs="宋体"/>
          <w:sz w:val="36"/>
          <w:szCs w:val="28"/>
          <w:highlight w:val="none"/>
        </w:rPr>
        <w:t>10.2 承包人的安全责任</w:t>
      </w:r>
      <w:bookmarkEnd w:id="255"/>
      <w:bookmarkEnd w:id="256"/>
      <w:bookmarkEnd w:id="257"/>
    </w:p>
    <w:p w14:paraId="56FDD19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10.2.1</w:t>
      </w:r>
      <w:r>
        <w:rPr>
          <w:rFonts w:hint="eastAsia" w:ascii="宋体" w:hAnsi="宋体" w:cs="宋体"/>
          <w:sz w:val="22"/>
          <w:highlight w:val="none"/>
        </w:rPr>
        <w:t xml:space="preserve"> 承包人应按合同约定履行安全职责，执行监理人有关安全工作的指示，并在专用合同条款约定的期限内，按合同约定的安全工作内容，编制安全措施计划报送监理人批准。</w:t>
      </w:r>
    </w:p>
    <w:p w14:paraId="7B457299">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10.2.2</w:t>
      </w:r>
      <w:r>
        <w:rPr>
          <w:rFonts w:hint="eastAsia" w:ascii="宋体" w:hAnsi="宋体" w:cs="宋体"/>
          <w:sz w:val="22"/>
          <w:highlight w:val="none"/>
        </w:rPr>
        <w:t xml:space="preserve"> 承包人按照合同约定需要进行勘察的，应严格执行操作规程，采取措施保证各类管线、设施和周边建筑物、构筑物的安全。</w:t>
      </w:r>
    </w:p>
    <w:p w14:paraId="14242EDE">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10.2.3</w:t>
      </w:r>
      <w:r>
        <w:rPr>
          <w:rFonts w:hint="eastAsia" w:ascii="宋体" w:hAnsi="宋体" w:cs="宋体"/>
          <w:sz w:val="22"/>
          <w:highlight w:val="none"/>
        </w:rPr>
        <w:t xml:space="preserve"> 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29487ABD">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10.2.4</w:t>
      </w:r>
      <w:r>
        <w:rPr>
          <w:rFonts w:hint="eastAsia" w:ascii="宋体" w:hAnsi="宋体" w:cs="宋体"/>
          <w:sz w:val="22"/>
          <w:highlight w:val="none"/>
        </w:rPr>
        <w:t xml:space="preserve"> 承包人应加强施工作业安全管理，特别应加强易燃、易爆材料、火工器材、有毒与腐蚀性材料和其他危险品的管理，以及对爆破作业和地下工程施工等危险作业的管理。</w:t>
      </w:r>
    </w:p>
    <w:p w14:paraId="5EDC0A0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10.2.5</w:t>
      </w:r>
      <w:r>
        <w:rPr>
          <w:rFonts w:hint="eastAsia" w:ascii="宋体" w:hAnsi="宋体" w:cs="宋体"/>
          <w:sz w:val="22"/>
          <w:highlight w:val="none"/>
        </w:rPr>
        <w:t xml:space="preserve"> 承包人应严格按照国家安全标准制定施工安全操作规程，配备必要的安全生产和劳动保护设施，加强对承包人人员的安全教育，并发放安全工作手册和劳动保护用具。</w:t>
      </w:r>
    </w:p>
    <w:p w14:paraId="1CC7669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10.2.6</w:t>
      </w:r>
      <w:r>
        <w:rPr>
          <w:rFonts w:hint="eastAsia" w:ascii="宋体" w:hAnsi="宋体" w:cs="宋体"/>
          <w:sz w:val="22"/>
          <w:highlight w:val="none"/>
        </w:rPr>
        <w:t xml:space="preserve"> 承包人应按监理人的指示制定应对灾害的紧急预案，报送监理人批准。承包人还应按预案做好安全检查，配置必要的救助物资和器材，切实保护好有关人员的人身和财产安全。</w:t>
      </w:r>
    </w:p>
    <w:p w14:paraId="5C1A1F80">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10.2.7</w:t>
      </w:r>
      <w:r>
        <w:rPr>
          <w:rFonts w:hint="eastAsia" w:ascii="宋体" w:hAnsi="宋体" w:cs="宋体"/>
          <w:sz w:val="22"/>
          <w:highlight w:val="none"/>
        </w:rPr>
        <w:t xml:space="preserve"> 合同约定的安全作业环境及安全施工措施所需费用应遵守有关规定，并包括在相关工作的合同价格中。因采取合同未约定的安全作业环境及安全施工措施增加的费用，由监理人按第3.5 款商定或确定。</w:t>
      </w:r>
    </w:p>
    <w:p w14:paraId="2F19B916">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10.2.8</w:t>
      </w:r>
      <w:r>
        <w:rPr>
          <w:rFonts w:hint="eastAsia" w:ascii="宋体" w:hAnsi="宋体" w:cs="宋体"/>
          <w:sz w:val="22"/>
          <w:highlight w:val="none"/>
        </w:rPr>
        <w:t xml:space="preserve"> 承包人应对其履行合同所雇佣的全部人员，包括分包人人员的工伤事故承担责任，但由于发包人原因造成承包人人员工伤事故的，应由发包人承担责任。</w:t>
      </w:r>
    </w:p>
    <w:p w14:paraId="3BDE2300">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10.2.9</w:t>
      </w:r>
      <w:r>
        <w:rPr>
          <w:rFonts w:hint="eastAsia" w:ascii="宋体" w:hAnsi="宋体" w:cs="宋体"/>
          <w:sz w:val="22"/>
          <w:highlight w:val="none"/>
        </w:rPr>
        <w:t xml:space="preserve"> 由于承包人原因在施工场地内及其毗邻地带造成的第三者人员伤亡和财产损失，由承包人负责赔偿。</w:t>
      </w:r>
    </w:p>
    <w:p w14:paraId="5BDE1955">
      <w:pPr>
        <w:pStyle w:val="4"/>
        <w:spacing w:before="156" w:beforeLines="50"/>
        <w:rPr>
          <w:rFonts w:hint="eastAsia" w:ascii="宋体" w:hAnsi="宋体" w:cs="宋体"/>
          <w:sz w:val="36"/>
          <w:szCs w:val="28"/>
          <w:highlight w:val="none"/>
        </w:rPr>
      </w:pPr>
      <w:bookmarkStart w:id="258" w:name="_Toc247514111"/>
      <w:bookmarkStart w:id="259" w:name="_Toc480909851"/>
      <w:bookmarkStart w:id="260" w:name="_Toc247527712"/>
      <w:r>
        <w:rPr>
          <w:rFonts w:hint="eastAsia" w:ascii="宋体" w:hAnsi="宋体" w:cs="宋体"/>
          <w:sz w:val="36"/>
          <w:szCs w:val="28"/>
          <w:highlight w:val="none"/>
        </w:rPr>
        <w:t>10.3 治安保卫</w:t>
      </w:r>
      <w:bookmarkEnd w:id="258"/>
      <w:bookmarkEnd w:id="259"/>
      <w:bookmarkEnd w:id="260"/>
    </w:p>
    <w:p w14:paraId="4CCEC9D7">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10.3.1</w:t>
      </w:r>
      <w:r>
        <w:rPr>
          <w:rFonts w:hint="eastAsia" w:ascii="宋体" w:hAnsi="宋体" w:cs="宋体"/>
          <w:sz w:val="22"/>
          <w:highlight w:val="none"/>
        </w:rPr>
        <w:t xml:space="preserve"> 除合同另有约定外，承包人应与当地公安部门协商，在现场建立治安管理机构或联防组织，统一管理施工场地的治安保卫事项，履行合同工程的治安保卫职责。</w:t>
      </w:r>
    </w:p>
    <w:p w14:paraId="3320FC99">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10.3.2</w:t>
      </w:r>
      <w:r>
        <w:rPr>
          <w:rFonts w:hint="eastAsia" w:ascii="宋体" w:hAnsi="宋体" w:cs="宋体"/>
          <w:sz w:val="22"/>
          <w:highlight w:val="none"/>
        </w:rPr>
        <w:t xml:space="preserve"> 发包人和承包人除应协助现场治安管理机构或联防组织维护施工场地的社会治安外，还应做好包括生活区在内的各自管辖区的治安保卫工作。</w:t>
      </w:r>
    </w:p>
    <w:p w14:paraId="6E7A7D9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10.3.3</w:t>
      </w:r>
      <w:r>
        <w:rPr>
          <w:rFonts w:hint="eastAsia" w:ascii="宋体" w:hAnsi="宋体" w:cs="宋体"/>
          <w:sz w:val="22"/>
          <w:highlight w:val="none"/>
        </w:rPr>
        <w:t xml:space="preserve"> 除合同另有约定外，承包人应编制施工场地治安管理计划，并制定应对突发治安事件的紧急预案，报监理人批准。自承包人进入施工现场，至发包人接收工程的期间，施工现场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74B71117">
      <w:pPr>
        <w:pStyle w:val="4"/>
        <w:spacing w:before="156" w:beforeLines="50"/>
        <w:rPr>
          <w:rFonts w:hint="eastAsia" w:ascii="宋体" w:hAnsi="宋体" w:cs="宋体"/>
          <w:sz w:val="36"/>
          <w:szCs w:val="28"/>
          <w:highlight w:val="none"/>
        </w:rPr>
      </w:pPr>
      <w:bookmarkStart w:id="261" w:name="_Toc480909852"/>
      <w:bookmarkStart w:id="262" w:name="_Toc247514112"/>
      <w:bookmarkStart w:id="263" w:name="_Toc247527713"/>
      <w:r>
        <w:rPr>
          <w:rFonts w:hint="eastAsia" w:ascii="宋体" w:hAnsi="宋体" w:cs="宋体"/>
          <w:sz w:val="36"/>
          <w:szCs w:val="28"/>
          <w:highlight w:val="none"/>
        </w:rPr>
        <w:t>10.4 环境保护</w:t>
      </w:r>
      <w:bookmarkEnd w:id="261"/>
      <w:bookmarkEnd w:id="262"/>
      <w:bookmarkEnd w:id="263"/>
    </w:p>
    <w:p w14:paraId="684A8D6F">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10.4.1</w:t>
      </w:r>
      <w:r>
        <w:rPr>
          <w:rFonts w:hint="eastAsia" w:ascii="宋体" w:hAnsi="宋体" w:cs="宋体"/>
          <w:sz w:val="22"/>
          <w:highlight w:val="none"/>
        </w:rPr>
        <w:t xml:space="preserve"> 承包人在履行合同过程中，应遵守有关环境保护的法律，履行合同约定的环境保护义务，并对违反法律和合同约定义务所造成的环境破坏、人身伤害和财产损失负责。</w:t>
      </w:r>
    </w:p>
    <w:p w14:paraId="677DB526">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10.4.2</w:t>
      </w:r>
      <w:r>
        <w:rPr>
          <w:rFonts w:hint="eastAsia" w:ascii="宋体" w:hAnsi="宋体" w:cs="宋体"/>
          <w:sz w:val="22"/>
          <w:highlight w:val="none"/>
        </w:rPr>
        <w:t xml:space="preserve"> 承包人应按合同约定的环保工作内容，编制环保措施计划，报送监理人批准。</w:t>
      </w:r>
    </w:p>
    <w:p w14:paraId="28D7986E">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10.4.3 </w:t>
      </w:r>
      <w:r>
        <w:rPr>
          <w:rFonts w:hint="eastAsia" w:ascii="宋体" w:hAnsi="宋体" w:cs="宋体"/>
          <w:sz w:val="22"/>
          <w:highlight w:val="none"/>
        </w:rPr>
        <w:t>承包人应确保施工过程中产生的气体排放物、</w:t>
      </w:r>
      <w:r>
        <w:rPr>
          <w:rFonts w:hint="eastAsia" w:ascii="宋体" w:hAnsi="宋体" w:cs="宋体"/>
          <w:sz w:val="22"/>
          <w:szCs w:val="24"/>
          <w:highlight w:val="none"/>
        </w:rPr>
        <w:t>粉尘、噪声、</w:t>
      </w:r>
      <w:r>
        <w:rPr>
          <w:rFonts w:hint="eastAsia" w:ascii="宋体" w:hAnsi="宋体" w:cs="宋体"/>
          <w:sz w:val="22"/>
          <w:highlight w:val="none"/>
        </w:rPr>
        <w:t>地面排水及排污等，符合法律规定和发包人要求。</w:t>
      </w:r>
    </w:p>
    <w:p w14:paraId="255E55B3">
      <w:pPr>
        <w:pStyle w:val="4"/>
        <w:spacing w:before="156" w:beforeLines="50"/>
        <w:rPr>
          <w:rFonts w:hint="eastAsia" w:ascii="宋体" w:hAnsi="宋体" w:cs="宋体"/>
          <w:sz w:val="36"/>
          <w:szCs w:val="28"/>
          <w:highlight w:val="none"/>
        </w:rPr>
      </w:pPr>
      <w:bookmarkStart w:id="264" w:name="_Toc247514113"/>
      <w:bookmarkStart w:id="265" w:name="_Toc480909853"/>
      <w:bookmarkStart w:id="266" w:name="_Toc247527714"/>
      <w:r>
        <w:rPr>
          <w:rFonts w:hint="eastAsia" w:ascii="宋体" w:hAnsi="宋体" w:cs="宋体"/>
          <w:sz w:val="36"/>
          <w:szCs w:val="28"/>
          <w:highlight w:val="none"/>
        </w:rPr>
        <w:t>10.5 事故处理</w:t>
      </w:r>
      <w:bookmarkEnd w:id="264"/>
      <w:bookmarkEnd w:id="265"/>
      <w:bookmarkEnd w:id="266"/>
    </w:p>
    <w:p w14:paraId="75F58C1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履行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D7B4EDC">
      <w:pPr>
        <w:pStyle w:val="3"/>
        <w:spacing w:before="156" w:beforeLines="50" w:after="0" w:line="360" w:lineRule="auto"/>
        <w:rPr>
          <w:rFonts w:hint="eastAsia" w:ascii="宋体" w:hAnsi="宋体" w:cs="宋体"/>
          <w:b w:val="0"/>
          <w:highlight w:val="none"/>
        </w:rPr>
      </w:pPr>
      <w:bookmarkStart w:id="267" w:name="_Toc247527715"/>
      <w:bookmarkStart w:id="268" w:name="_Toc247514114"/>
      <w:bookmarkStart w:id="269" w:name="_Toc184635108"/>
      <w:bookmarkStart w:id="270" w:name="_Toc480909854"/>
      <w:r>
        <w:rPr>
          <w:rFonts w:hint="eastAsia" w:ascii="宋体" w:hAnsi="宋体" w:cs="宋体"/>
          <w:b w:val="0"/>
          <w:highlight w:val="none"/>
        </w:rPr>
        <w:t>11. 开始工作和竣工</w:t>
      </w:r>
      <w:bookmarkEnd w:id="267"/>
      <w:bookmarkEnd w:id="268"/>
      <w:bookmarkEnd w:id="269"/>
      <w:bookmarkEnd w:id="270"/>
    </w:p>
    <w:p w14:paraId="29ABBFAD">
      <w:pPr>
        <w:pStyle w:val="4"/>
        <w:spacing w:before="156" w:beforeLines="50"/>
        <w:rPr>
          <w:rFonts w:hint="eastAsia" w:ascii="宋体" w:hAnsi="宋体" w:cs="宋体"/>
          <w:sz w:val="36"/>
          <w:szCs w:val="28"/>
          <w:highlight w:val="none"/>
        </w:rPr>
      </w:pPr>
      <w:bookmarkStart w:id="271" w:name="_Toc480909855"/>
      <w:bookmarkStart w:id="272" w:name="_Toc247514115"/>
      <w:bookmarkStart w:id="273" w:name="_Toc247527716"/>
      <w:r>
        <w:rPr>
          <w:rFonts w:hint="eastAsia" w:ascii="宋体" w:hAnsi="宋体" w:cs="宋体"/>
          <w:sz w:val="36"/>
          <w:szCs w:val="28"/>
          <w:highlight w:val="none"/>
        </w:rPr>
        <w:t>11.1 开始工作</w:t>
      </w:r>
      <w:bookmarkEnd w:id="271"/>
      <w:bookmarkEnd w:id="272"/>
      <w:bookmarkEnd w:id="273"/>
    </w:p>
    <w:p w14:paraId="4CC258E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符合专用合同条款约定的开始工作的条件的，监理人应提前7天向承包人发出开始工作通知。监理人在发出开始工作通知前应获得发包人同意。工期自开始工作通知中载明的开始工作日期起计算。除专用合同条款另有约定外，因发包人原因造成监理人未能在合同签订之日起90天内发出开始工作通知的，承包人有权提出价格调整要求，或者解除合同。发包人应当承担由此增加的费用和（或）工期延误，并向承包人支付合理利润。</w:t>
      </w:r>
    </w:p>
    <w:p w14:paraId="27646E37">
      <w:pPr>
        <w:pStyle w:val="4"/>
        <w:spacing w:before="156" w:beforeLines="50"/>
        <w:rPr>
          <w:rFonts w:hint="eastAsia" w:ascii="宋体" w:hAnsi="宋体" w:cs="宋体"/>
          <w:sz w:val="36"/>
          <w:szCs w:val="28"/>
          <w:highlight w:val="none"/>
        </w:rPr>
      </w:pPr>
      <w:bookmarkStart w:id="274" w:name="_Toc480909856"/>
      <w:bookmarkStart w:id="275" w:name="_Toc247527717"/>
      <w:bookmarkStart w:id="276" w:name="_Toc247514116"/>
      <w:r>
        <w:rPr>
          <w:rFonts w:hint="eastAsia" w:ascii="宋体" w:hAnsi="宋体" w:cs="宋体"/>
          <w:sz w:val="36"/>
          <w:szCs w:val="28"/>
          <w:highlight w:val="none"/>
        </w:rPr>
        <w:t>11.2 竣工</w:t>
      </w:r>
      <w:bookmarkEnd w:id="274"/>
      <w:bookmarkEnd w:id="275"/>
      <w:bookmarkEnd w:id="276"/>
    </w:p>
    <w:p w14:paraId="2223320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承包人应在第</w:t>
      </w:r>
      <w:r>
        <w:rPr>
          <w:rFonts w:hint="eastAsia" w:ascii="宋体" w:hAnsi="宋体" w:cs="宋体"/>
          <w:sz w:val="22"/>
          <w:szCs w:val="24"/>
          <w:highlight w:val="none"/>
        </w:rPr>
        <w:t xml:space="preserve">1.1.4.3 </w:t>
      </w:r>
      <w:r>
        <w:rPr>
          <w:rFonts w:hint="eastAsia" w:ascii="宋体" w:hAnsi="宋体" w:cs="宋体"/>
          <w:sz w:val="22"/>
          <w:highlight w:val="none"/>
        </w:rPr>
        <w:t>目约定的期限内完成合同工作。实际竣工日</w:t>
      </w:r>
      <w:r>
        <w:rPr>
          <w:rFonts w:hint="eastAsia" w:ascii="宋体" w:hAnsi="宋体" w:cs="宋体"/>
          <w:sz w:val="22"/>
          <w:szCs w:val="24"/>
          <w:highlight w:val="none"/>
        </w:rPr>
        <w:t>期按第18.3</w:t>
      </w:r>
      <w:r>
        <w:rPr>
          <w:rFonts w:hint="eastAsia" w:ascii="宋体" w:hAnsi="宋体" w:cs="宋体"/>
          <w:sz w:val="22"/>
          <w:highlight w:val="none"/>
        </w:rPr>
        <w:t>款约定确定，并在工程接收证书中载明。</w:t>
      </w:r>
    </w:p>
    <w:p w14:paraId="695A3DD3">
      <w:pPr>
        <w:pStyle w:val="4"/>
        <w:spacing w:before="156" w:beforeLines="50"/>
        <w:rPr>
          <w:rFonts w:hint="eastAsia" w:ascii="宋体" w:hAnsi="宋体" w:cs="宋体"/>
          <w:sz w:val="36"/>
          <w:szCs w:val="28"/>
          <w:highlight w:val="none"/>
        </w:rPr>
      </w:pPr>
      <w:bookmarkStart w:id="277" w:name="_Toc480909857"/>
      <w:bookmarkStart w:id="278" w:name="_Toc247527718"/>
      <w:bookmarkStart w:id="279" w:name="_Toc247514117"/>
      <w:r>
        <w:rPr>
          <w:rFonts w:hint="eastAsia" w:ascii="宋体" w:hAnsi="宋体" w:cs="宋体"/>
          <w:sz w:val="36"/>
          <w:szCs w:val="28"/>
          <w:highlight w:val="none"/>
        </w:rPr>
        <w:t>11.3 发包人引起的工期延误</w:t>
      </w:r>
      <w:bookmarkEnd w:id="277"/>
      <w:bookmarkEnd w:id="278"/>
      <w:bookmarkEnd w:id="279"/>
    </w:p>
    <w:p w14:paraId="709E9EE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在履行合同过程中，由于发包人的下列原因造成工期延误的，承包人有权要求发包人延长工期和（或）增加费用，并支付合理利润。需要修订合同进度计划的，按照</w:t>
      </w:r>
      <w:r>
        <w:rPr>
          <w:rFonts w:hint="eastAsia" w:ascii="宋体" w:hAnsi="宋体" w:cs="宋体"/>
          <w:sz w:val="22"/>
          <w:szCs w:val="24"/>
          <w:highlight w:val="none"/>
        </w:rPr>
        <w:t>第4.12.2项</w:t>
      </w:r>
      <w:r>
        <w:rPr>
          <w:rFonts w:hint="eastAsia" w:ascii="宋体" w:hAnsi="宋体" w:cs="宋体"/>
          <w:sz w:val="22"/>
          <w:highlight w:val="none"/>
        </w:rPr>
        <w:t>的约定执行。</w:t>
      </w:r>
    </w:p>
    <w:p w14:paraId="687EBBCF">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（l）变更；</w:t>
      </w:r>
    </w:p>
    <w:p w14:paraId="45B6E6E5">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（2）未能按照合同要求的期限对承包人文件进行审查；</w:t>
      </w:r>
    </w:p>
    <w:p w14:paraId="1664F48A">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 xml:space="preserve">（3）因发包人原因导致的暂停施工； </w:t>
      </w:r>
    </w:p>
    <w:p w14:paraId="4B49F900">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（4) 未按合同约定及时支付预付款、进度款；</w:t>
      </w:r>
    </w:p>
    <w:p w14:paraId="73A5CCBD">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（5) 发包人按第9.3款提供的基准资料错误；</w:t>
      </w:r>
    </w:p>
    <w:p w14:paraId="1D6979F6">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（6）发包人按第6.2款迟延提供材料、工程设备或变更交货地点的；</w:t>
      </w:r>
    </w:p>
    <w:p w14:paraId="044CD1FC">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（7）发包人未及时按照“</w:t>
      </w:r>
      <w:r>
        <w:rPr>
          <w:rFonts w:hint="eastAsia" w:ascii="宋体" w:hAnsi="宋体" w:cs="宋体"/>
          <w:sz w:val="22"/>
          <w:highlight w:val="none"/>
        </w:rPr>
        <w:t>发包人要求</w:t>
      </w:r>
      <w:r>
        <w:rPr>
          <w:rFonts w:hint="eastAsia" w:ascii="宋体" w:hAnsi="宋体" w:cs="宋体"/>
          <w:sz w:val="22"/>
          <w:szCs w:val="24"/>
          <w:highlight w:val="none"/>
        </w:rPr>
        <w:t>”履行相关义务；</w:t>
      </w:r>
    </w:p>
    <w:p w14:paraId="4B59BC8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（8）发包人造成</w:t>
      </w:r>
      <w:r>
        <w:rPr>
          <w:rFonts w:hint="eastAsia" w:ascii="宋体" w:hAnsi="宋体" w:cs="宋体"/>
          <w:sz w:val="22"/>
          <w:highlight w:val="none"/>
        </w:rPr>
        <w:t>工期延误的其他原因。</w:t>
      </w:r>
    </w:p>
    <w:p w14:paraId="62A8D4C4">
      <w:pPr>
        <w:pStyle w:val="4"/>
        <w:spacing w:before="156" w:beforeLines="50"/>
        <w:rPr>
          <w:rFonts w:hint="eastAsia" w:ascii="宋体" w:hAnsi="宋体" w:cs="宋体"/>
          <w:sz w:val="36"/>
          <w:szCs w:val="28"/>
          <w:highlight w:val="none"/>
        </w:rPr>
      </w:pPr>
      <w:bookmarkStart w:id="280" w:name="_Toc480909858"/>
      <w:bookmarkStart w:id="281" w:name="_Toc247527719"/>
      <w:bookmarkStart w:id="282" w:name="_Toc247514118"/>
      <w:r>
        <w:rPr>
          <w:rFonts w:hint="eastAsia" w:ascii="宋体" w:hAnsi="宋体" w:cs="宋体"/>
          <w:sz w:val="36"/>
          <w:szCs w:val="28"/>
          <w:highlight w:val="none"/>
        </w:rPr>
        <w:t>11.4 异常恶劣的气候条件</w:t>
      </w:r>
      <w:bookmarkEnd w:id="280"/>
      <w:bookmarkEnd w:id="281"/>
      <w:bookmarkEnd w:id="282"/>
    </w:p>
    <w:p w14:paraId="05F3879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由于出现专用合同条款规定的异常恶劣气候的条件导致工期延误的，承包人有权要求发包人延长工期和（或）增加费用。</w:t>
      </w:r>
    </w:p>
    <w:p w14:paraId="39DE0FAC">
      <w:pPr>
        <w:pStyle w:val="4"/>
        <w:spacing w:before="156" w:beforeLines="50"/>
        <w:rPr>
          <w:rFonts w:hint="eastAsia" w:ascii="宋体" w:hAnsi="宋体" w:cs="宋体"/>
          <w:sz w:val="36"/>
          <w:szCs w:val="28"/>
          <w:highlight w:val="none"/>
        </w:rPr>
      </w:pPr>
      <w:bookmarkStart w:id="283" w:name="_Toc247514119"/>
      <w:bookmarkStart w:id="284" w:name="_Toc247527720"/>
      <w:bookmarkStart w:id="285" w:name="_Toc480909859"/>
      <w:r>
        <w:rPr>
          <w:rFonts w:hint="eastAsia" w:ascii="宋体" w:hAnsi="宋体" w:cs="宋体"/>
          <w:sz w:val="36"/>
          <w:szCs w:val="28"/>
          <w:highlight w:val="none"/>
        </w:rPr>
        <w:t>11.5 承包人引起的工期延误</w:t>
      </w:r>
      <w:bookmarkEnd w:id="283"/>
      <w:bookmarkEnd w:id="284"/>
      <w:bookmarkEnd w:id="285"/>
    </w:p>
    <w:p w14:paraId="49E6E15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由于承包人原因，未能按合同进度计划完成工作，或监理人认为承包人工作进度不能满足合同工期要求的，承包人应采取措施加快进度，并承担加快进度所增加的费用。由于承包人原因造成工期延误，承包人应支付逾期竣工违约金。逾期竣工违约金的计算方法和最高限额在专用合同条款中约定。承包人支付逾期竣工违约金，不免除承包人完成工作及修补缺陷的义务。</w:t>
      </w:r>
    </w:p>
    <w:p w14:paraId="0F4F47B5">
      <w:pPr>
        <w:pStyle w:val="4"/>
        <w:spacing w:before="156" w:beforeLines="50"/>
        <w:rPr>
          <w:rFonts w:hint="eastAsia" w:ascii="宋体" w:hAnsi="宋体" w:cs="宋体"/>
          <w:sz w:val="36"/>
          <w:szCs w:val="28"/>
          <w:highlight w:val="none"/>
        </w:rPr>
      </w:pPr>
      <w:bookmarkStart w:id="286" w:name="_Toc247527721"/>
      <w:bookmarkStart w:id="287" w:name="_Toc480909860"/>
      <w:bookmarkStart w:id="288" w:name="_Toc247514120"/>
      <w:r>
        <w:rPr>
          <w:rFonts w:hint="eastAsia" w:ascii="宋体" w:hAnsi="宋体" w:cs="宋体"/>
          <w:sz w:val="36"/>
          <w:szCs w:val="28"/>
          <w:highlight w:val="none"/>
        </w:rPr>
        <w:t>11.6 工期提前</w:t>
      </w:r>
      <w:bookmarkEnd w:id="286"/>
      <w:bookmarkEnd w:id="287"/>
      <w:bookmarkEnd w:id="288"/>
    </w:p>
    <w:p w14:paraId="6DCE8D6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w:t>
      </w:r>
    </w:p>
    <w:p w14:paraId="3065BC58">
      <w:pPr>
        <w:pStyle w:val="4"/>
        <w:spacing w:before="156" w:beforeLines="50"/>
        <w:rPr>
          <w:rFonts w:hint="eastAsia" w:ascii="宋体" w:hAnsi="宋体" w:cs="宋体"/>
          <w:sz w:val="36"/>
          <w:szCs w:val="28"/>
          <w:highlight w:val="none"/>
        </w:rPr>
      </w:pPr>
      <w:bookmarkStart w:id="289" w:name="_Toc480909861"/>
      <w:r>
        <w:rPr>
          <w:rFonts w:hint="eastAsia" w:ascii="宋体" w:hAnsi="宋体" w:cs="宋体"/>
          <w:sz w:val="36"/>
          <w:szCs w:val="28"/>
          <w:highlight w:val="none"/>
        </w:rPr>
        <w:t>11.7 行政审批迟延</w:t>
      </w:r>
      <w:bookmarkEnd w:id="289"/>
    </w:p>
    <w:p w14:paraId="7E358BA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合同约定范围内的工作需国家有关部门审批的，发包人和（或）承包人应按照合同约定的职责分工完成行政审批报送。因国家有关部门审批迟延造成费用增加和（或）工期延误的，由发包人承担。</w:t>
      </w:r>
    </w:p>
    <w:p w14:paraId="17902C00">
      <w:pPr>
        <w:pStyle w:val="3"/>
        <w:spacing w:before="156" w:beforeLines="50" w:after="0" w:line="360" w:lineRule="auto"/>
        <w:rPr>
          <w:rFonts w:hint="eastAsia" w:ascii="宋体" w:hAnsi="宋体" w:cs="宋体"/>
          <w:b w:val="0"/>
          <w:highlight w:val="none"/>
        </w:rPr>
      </w:pPr>
      <w:bookmarkStart w:id="290" w:name="_Toc480909862"/>
      <w:bookmarkStart w:id="291" w:name="_Toc184635109"/>
      <w:bookmarkStart w:id="292" w:name="_Toc247527722"/>
      <w:bookmarkStart w:id="293" w:name="_Toc247514121"/>
      <w:r>
        <w:rPr>
          <w:rFonts w:hint="eastAsia" w:ascii="宋体" w:hAnsi="宋体" w:cs="宋体"/>
          <w:b w:val="0"/>
          <w:highlight w:val="none"/>
        </w:rPr>
        <w:t>12. 暂停工作</w:t>
      </w:r>
      <w:bookmarkEnd w:id="290"/>
      <w:bookmarkEnd w:id="291"/>
      <w:bookmarkEnd w:id="292"/>
      <w:bookmarkEnd w:id="293"/>
    </w:p>
    <w:p w14:paraId="36CD9DE4">
      <w:pPr>
        <w:pStyle w:val="4"/>
        <w:spacing w:before="156" w:beforeLines="50"/>
        <w:rPr>
          <w:rFonts w:hint="eastAsia" w:ascii="宋体" w:hAnsi="宋体" w:cs="宋体"/>
          <w:sz w:val="36"/>
          <w:szCs w:val="28"/>
          <w:highlight w:val="none"/>
        </w:rPr>
      </w:pPr>
      <w:bookmarkStart w:id="294" w:name="_Toc480909863"/>
      <w:bookmarkStart w:id="295" w:name="_Toc247514127"/>
      <w:bookmarkStart w:id="296" w:name="_Toc184635110"/>
      <w:bookmarkStart w:id="297" w:name="_Toc247527728"/>
      <w:r>
        <w:rPr>
          <w:rFonts w:hint="eastAsia" w:ascii="宋体" w:hAnsi="宋体" w:cs="宋体"/>
          <w:sz w:val="36"/>
          <w:szCs w:val="28"/>
          <w:highlight w:val="none"/>
        </w:rPr>
        <w:t>12.1 由发包人暂停工作</w:t>
      </w:r>
      <w:bookmarkEnd w:id="294"/>
    </w:p>
    <w:p w14:paraId="7E418377">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12.1.1 发包人</w:t>
      </w:r>
      <w:r>
        <w:rPr>
          <w:rFonts w:hint="eastAsia" w:ascii="宋体" w:hAnsi="宋体" w:cs="宋体"/>
          <w:sz w:val="22"/>
          <w:highlight w:val="none"/>
        </w:rPr>
        <w:t>认为必要时，可通过监理人向承包人发出暂停工作的指示，承包人应按监理人指示暂停工作。由于发包人原因引起的暂停工作造成工期延误的，承包人有权要求发包人延长工期和（或）增加费用，并支付合理利润。</w:t>
      </w:r>
    </w:p>
    <w:p w14:paraId="3238067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12.1.2 由于承包人</w:t>
      </w:r>
      <w:r>
        <w:rPr>
          <w:rFonts w:hint="eastAsia" w:ascii="宋体" w:hAnsi="宋体" w:cs="宋体"/>
          <w:sz w:val="22"/>
          <w:highlight w:val="none"/>
        </w:rPr>
        <w:t>下列原因造成发包人暂停工作的，由此造成费用的增加和（或）工期延误由承包人承担：</w:t>
      </w:r>
    </w:p>
    <w:p w14:paraId="1DA97BA5">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（1）承包人违约；</w:t>
      </w:r>
    </w:p>
    <w:p w14:paraId="1CC6B482">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（2）承包人擅自暂停工作；</w:t>
      </w:r>
    </w:p>
    <w:p w14:paraId="49AB3DF1">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（3）合同约</w:t>
      </w:r>
      <w:r>
        <w:rPr>
          <w:rFonts w:hint="eastAsia" w:ascii="宋体" w:hAnsi="宋体" w:cs="宋体"/>
          <w:sz w:val="22"/>
          <w:highlight w:val="none"/>
        </w:rPr>
        <w:t>定由承包人承担责任的其他暂停工作。</w:t>
      </w:r>
    </w:p>
    <w:p w14:paraId="33C8B023">
      <w:pPr>
        <w:pStyle w:val="4"/>
        <w:spacing w:before="156" w:beforeLines="50"/>
        <w:rPr>
          <w:rFonts w:hint="eastAsia" w:ascii="宋体" w:hAnsi="宋体" w:cs="宋体"/>
          <w:sz w:val="36"/>
          <w:szCs w:val="28"/>
          <w:highlight w:val="none"/>
        </w:rPr>
      </w:pPr>
      <w:bookmarkStart w:id="298" w:name="_Toc480909864"/>
      <w:r>
        <w:rPr>
          <w:rFonts w:hint="eastAsia" w:ascii="宋体" w:hAnsi="宋体" w:cs="宋体"/>
          <w:sz w:val="36"/>
          <w:szCs w:val="28"/>
          <w:highlight w:val="none"/>
        </w:rPr>
        <w:t>12.2 由承包人暂停工作</w:t>
      </w:r>
      <w:bookmarkEnd w:id="298"/>
    </w:p>
    <w:p w14:paraId="702208C8">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12.2.1 </w:t>
      </w:r>
      <w:r>
        <w:rPr>
          <w:rFonts w:hint="eastAsia" w:ascii="宋体" w:hAnsi="宋体" w:cs="宋体"/>
          <w:sz w:val="22"/>
          <w:highlight w:val="none"/>
        </w:rPr>
        <w:t>合同履行过程中发生下列情形之一的，承包人可向发包人发出通知，要求发包人采取有效措施予以纠正。发包人收到承包人通知后的28天内仍不履行合同义务，承包人有权暂停施工，并通知监理人，发包人应承担由此增加的费用和（或）工期延误责任，并支付承包人合理利润。</w:t>
      </w:r>
    </w:p>
    <w:p w14:paraId="1AD4E9B5">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（1）发包人未能按合同约定支付价款，或拖延、拒绝批准付款申请和支付证书，导致付款延误的；</w:t>
      </w:r>
    </w:p>
    <w:p w14:paraId="69BF0547">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（2）监理人无正当理由没有在约定期限内发出复工指示，导致承包人无法复工的；</w:t>
      </w:r>
    </w:p>
    <w:p w14:paraId="2CC115CD">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（3）发包人无法继续履行或明确表示不履行或实质上已停止履行合同的；</w:t>
      </w:r>
    </w:p>
    <w:p w14:paraId="2E878690">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（4）发包人</w:t>
      </w:r>
      <w:r>
        <w:rPr>
          <w:rFonts w:hint="eastAsia" w:ascii="宋体" w:hAnsi="宋体" w:cs="宋体"/>
          <w:sz w:val="22"/>
          <w:highlight w:val="none"/>
        </w:rPr>
        <w:t>不履行合同约定其他义务的。</w:t>
      </w:r>
    </w:p>
    <w:p w14:paraId="1B59AB2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12.2.2 </w:t>
      </w:r>
      <w:r>
        <w:rPr>
          <w:rFonts w:hint="eastAsia" w:ascii="宋体" w:hAnsi="宋体" w:cs="宋体"/>
          <w:sz w:val="22"/>
          <w:highlight w:val="none"/>
        </w:rPr>
        <w:t>由于发包人的原因发生暂停施工的紧急情况，且监理人未及时下达暂停工作指示的，承包人可先暂停施工，并及时向监理人提出暂停工作的书面请求。监理人应在收到书面请求后的24小时内予以答复，逾期未答复的，视为同意承包人的暂停工作请求。</w:t>
      </w:r>
    </w:p>
    <w:p w14:paraId="1CBF21C0">
      <w:pPr>
        <w:pStyle w:val="4"/>
        <w:spacing w:before="156" w:beforeLines="50"/>
        <w:rPr>
          <w:rFonts w:hint="eastAsia" w:ascii="宋体" w:hAnsi="宋体" w:cs="宋体"/>
          <w:sz w:val="36"/>
          <w:szCs w:val="28"/>
          <w:highlight w:val="none"/>
        </w:rPr>
      </w:pPr>
      <w:bookmarkStart w:id="299" w:name="_Toc480909865"/>
      <w:r>
        <w:rPr>
          <w:rFonts w:hint="eastAsia" w:ascii="宋体" w:hAnsi="宋体" w:cs="宋体"/>
          <w:sz w:val="36"/>
          <w:szCs w:val="28"/>
          <w:highlight w:val="none"/>
        </w:rPr>
        <w:t>12.3 暂停工作后的照管</w:t>
      </w:r>
      <w:bookmarkEnd w:id="299"/>
    </w:p>
    <w:p w14:paraId="63EDC9E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不论由于何种原因引起暂停工作的，暂停工作期间，承包人应负责妥善保护工程并提供安全保障，由此增加的费用由责任方承担。</w:t>
      </w:r>
    </w:p>
    <w:p w14:paraId="5EA5E3F4">
      <w:pPr>
        <w:pStyle w:val="4"/>
        <w:spacing w:before="156" w:beforeLines="50"/>
        <w:rPr>
          <w:rFonts w:hint="eastAsia" w:ascii="宋体" w:hAnsi="宋体" w:cs="宋体"/>
          <w:sz w:val="36"/>
          <w:szCs w:val="28"/>
          <w:highlight w:val="none"/>
        </w:rPr>
      </w:pPr>
      <w:bookmarkStart w:id="300" w:name="_Toc480909866"/>
      <w:r>
        <w:rPr>
          <w:rFonts w:hint="eastAsia" w:ascii="宋体" w:hAnsi="宋体" w:cs="宋体"/>
          <w:sz w:val="36"/>
          <w:szCs w:val="28"/>
          <w:highlight w:val="none"/>
        </w:rPr>
        <w:t>12.4 暂停工作后的复工</w:t>
      </w:r>
      <w:bookmarkEnd w:id="300"/>
    </w:p>
    <w:p w14:paraId="38EBB6AF">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12.4.1</w:t>
      </w:r>
      <w:r>
        <w:rPr>
          <w:rFonts w:hint="eastAsia" w:ascii="宋体" w:hAnsi="宋体" w:cs="宋体"/>
          <w:sz w:val="22"/>
          <w:highlight w:val="none"/>
        </w:rPr>
        <w:t>暂停工作后，监理人应与发包人和承包人协商，采取有效措施积极消除暂停工作的影响。当工程具备复工条件时，监理人应立即向承包人发出复工通知。承包人收到复工通知后，应在监理人指定的期限内复工。</w:t>
      </w:r>
    </w:p>
    <w:p w14:paraId="0BAB4D97">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12.4.2</w:t>
      </w:r>
      <w:r>
        <w:rPr>
          <w:rFonts w:hint="eastAsia" w:ascii="宋体" w:hAnsi="宋体" w:cs="宋体"/>
          <w:sz w:val="22"/>
          <w:highlight w:val="none"/>
        </w:rPr>
        <w:t>承包人无故拖延和拒绝复工的，由此增加的费用和工期延误由承包人承担；因发包人原因无法按时复工的，承包人有权要求发包人延长工期和（或）增加费用，并支付合理利润。</w:t>
      </w:r>
    </w:p>
    <w:p w14:paraId="08FF4856">
      <w:pPr>
        <w:pStyle w:val="4"/>
        <w:spacing w:before="156" w:beforeLines="50"/>
        <w:rPr>
          <w:rFonts w:hint="eastAsia" w:ascii="宋体" w:hAnsi="宋体" w:cs="宋体"/>
          <w:sz w:val="36"/>
          <w:szCs w:val="28"/>
          <w:highlight w:val="none"/>
        </w:rPr>
      </w:pPr>
      <w:bookmarkStart w:id="301" w:name="_Toc480909867"/>
      <w:r>
        <w:rPr>
          <w:rFonts w:hint="eastAsia" w:ascii="宋体" w:hAnsi="宋体" w:cs="宋体"/>
          <w:sz w:val="36"/>
          <w:szCs w:val="28"/>
          <w:highlight w:val="none"/>
        </w:rPr>
        <w:t>12.5 暂停工作56天以上</w:t>
      </w:r>
      <w:bookmarkEnd w:id="301"/>
    </w:p>
    <w:p w14:paraId="2A298F59">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12.5.1</w:t>
      </w:r>
      <w:r>
        <w:rPr>
          <w:rFonts w:hint="eastAsia" w:ascii="宋体" w:hAnsi="宋体" w:cs="宋体"/>
          <w:sz w:val="22"/>
          <w:highlight w:val="none"/>
        </w:rPr>
        <w:t>监理人发出暂停工作指示后56 天内未向承包人发出复工通知的，除该项暂停由于承包人违约造成之外，承包人可向监理人提交书面通知，要求监理人在收到书面通知后28天内准许已暂停工作的全部或部分继续工作。如监理人逾期不予批准，则承包人可以通知监理人，将工程受影响的部分按第15条的约定作为可取消工作的变更处理。暂停工作影响到整个工程的，视为发包人违约，应按第</w:t>
      </w:r>
      <w:r>
        <w:rPr>
          <w:rFonts w:hint="eastAsia" w:ascii="宋体" w:hAnsi="宋体" w:cs="宋体"/>
          <w:sz w:val="22"/>
          <w:szCs w:val="24"/>
          <w:highlight w:val="none"/>
        </w:rPr>
        <w:t>12.2.1项</w:t>
      </w:r>
      <w:r>
        <w:rPr>
          <w:rFonts w:hint="eastAsia" w:ascii="宋体" w:hAnsi="宋体" w:cs="宋体"/>
          <w:sz w:val="22"/>
          <w:highlight w:val="none"/>
        </w:rPr>
        <w:t>的约定执行，同时承包人有权解除合同。</w:t>
      </w:r>
    </w:p>
    <w:p w14:paraId="3A6F1FB8">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12.5.2由于</w:t>
      </w:r>
      <w:r>
        <w:rPr>
          <w:rFonts w:hint="eastAsia" w:ascii="宋体" w:hAnsi="宋体" w:cs="宋体"/>
          <w:sz w:val="22"/>
          <w:highlight w:val="none"/>
        </w:rPr>
        <w:t>承包人原因引起暂停工作的，如承包人在收到监理人暂停工作指示后56 天内不采取有效的复工措施，造成工期延误的，视为承包人违约，应按第</w:t>
      </w:r>
      <w:r>
        <w:rPr>
          <w:rFonts w:hint="eastAsia" w:ascii="宋体" w:hAnsi="宋体" w:cs="宋体"/>
          <w:sz w:val="22"/>
          <w:szCs w:val="24"/>
          <w:highlight w:val="none"/>
        </w:rPr>
        <w:t xml:space="preserve">12.1.2 </w:t>
      </w:r>
      <w:r>
        <w:rPr>
          <w:rFonts w:hint="eastAsia" w:ascii="宋体" w:hAnsi="宋体" w:cs="宋体"/>
          <w:sz w:val="22"/>
          <w:highlight w:val="none"/>
        </w:rPr>
        <w:t>项的约定执行。</w:t>
      </w:r>
    </w:p>
    <w:p w14:paraId="2D98E835">
      <w:pPr>
        <w:pStyle w:val="3"/>
        <w:spacing w:before="156" w:beforeLines="50" w:after="0" w:line="360" w:lineRule="auto"/>
        <w:rPr>
          <w:rFonts w:hint="eastAsia" w:ascii="宋体" w:hAnsi="宋体" w:cs="宋体"/>
          <w:b w:val="0"/>
          <w:highlight w:val="none"/>
        </w:rPr>
      </w:pPr>
      <w:bookmarkStart w:id="302" w:name="_Toc480909868"/>
      <w:r>
        <w:rPr>
          <w:rFonts w:hint="eastAsia" w:ascii="宋体" w:hAnsi="宋体" w:cs="宋体"/>
          <w:b w:val="0"/>
          <w:highlight w:val="none"/>
        </w:rPr>
        <w:t>13. 工程质量</w:t>
      </w:r>
      <w:bookmarkEnd w:id="295"/>
      <w:bookmarkEnd w:id="296"/>
      <w:bookmarkEnd w:id="297"/>
      <w:bookmarkEnd w:id="302"/>
    </w:p>
    <w:p w14:paraId="4D42F8A5">
      <w:pPr>
        <w:pStyle w:val="4"/>
        <w:spacing w:before="156" w:beforeLines="50"/>
        <w:rPr>
          <w:rFonts w:hint="eastAsia" w:ascii="宋体" w:hAnsi="宋体" w:cs="宋体"/>
          <w:sz w:val="36"/>
          <w:szCs w:val="28"/>
          <w:highlight w:val="none"/>
        </w:rPr>
      </w:pPr>
      <w:bookmarkStart w:id="303" w:name="_Toc480909869"/>
      <w:bookmarkStart w:id="304" w:name="_Toc247514128"/>
      <w:bookmarkStart w:id="305" w:name="_Toc247527729"/>
      <w:r>
        <w:rPr>
          <w:rFonts w:hint="eastAsia" w:ascii="宋体" w:hAnsi="宋体" w:cs="宋体"/>
          <w:sz w:val="36"/>
          <w:szCs w:val="28"/>
          <w:highlight w:val="none"/>
        </w:rPr>
        <w:t>13.1 工程质量要求</w:t>
      </w:r>
      <w:bookmarkEnd w:id="303"/>
      <w:bookmarkEnd w:id="304"/>
      <w:bookmarkEnd w:id="305"/>
    </w:p>
    <w:p w14:paraId="050D6B2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13.1.1 </w:t>
      </w:r>
      <w:r>
        <w:rPr>
          <w:rFonts w:hint="eastAsia" w:ascii="宋体" w:hAnsi="宋体" w:cs="宋体"/>
          <w:sz w:val="22"/>
          <w:highlight w:val="none"/>
        </w:rPr>
        <w:t>工程质量验收按法律规定和合同约定的验收标准执行。</w:t>
      </w:r>
    </w:p>
    <w:p w14:paraId="6CAE685E">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13.1.2 </w:t>
      </w:r>
      <w:r>
        <w:rPr>
          <w:rFonts w:hint="eastAsia" w:ascii="宋体" w:hAnsi="宋体" w:cs="宋体"/>
          <w:sz w:val="22"/>
          <w:highlight w:val="none"/>
        </w:rPr>
        <w:t>因承包人原因造成工程质量不符合法律的规定和合同约定的，监理人有权要求承包人返工直至符合合同要求为止，由此造成的费用增加和（或）工期延误由承包人承担。</w:t>
      </w:r>
    </w:p>
    <w:p w14:paraId="7ABB36C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13.1.3</w:t>
      </w:r>
      <w:r>
        <w:rPr>
          <w:rFonts w:hint="eastAsia" w:ascii="宋体" w:hAnsi="宋体" w:cs="宋体"/>
          <w:sz w:val="22"/>
          <w:highlight w:val="none"/>
        </w:rPr>
        <w:t xml:space="preserve"> 因发包人原因造成工程质量达不到合同约定验收标准的，发包人应承担由于承包人返工造成的费用增加和（或）工期延误，并支付承包人合理利润。</w:t>
      </w:r>
    </w:p>
    <w:p w14:paraId="695FFDF5">
      <w:pPr>
        <w:pStyle w:val="4"/>
        <w:spacing w:before="156" w:beforeLines="50"/>
        <w:rPr>
          <w:rFonts w:hint="eastAsia" w:ascii="宋体" w:hAnsi="宋体" w:cs="宋体"/>
          <w:sz w:val="36"/>
          <w:szCs w:val="28"/>
          <w:highlight w:val="none"/>
        </w:rPr>
      </w:pPr>
      <w:bookmarkStart w:id="306" w:name="_Toc247527731"/>
      <w:bookmarkStart w:id="307" w:name="_Toc480909870"/>
      <w:bookmarkStart w:id="308" w:name="_Toc247514130"/>
      <w:r>
        <w:rPr>
          <w:rFonts w:hint="eastAsia" w:ascii="宋体" w:hAnsi="宋体" w:cs="宋体"/>
          <w:sz w:val="36"/>
          <w:szCs w:val="28"/>
          <w:highlight w:val="none"/>
        </w:rPr>
        <w:t>13.2 承包人的质量检查</w:t>
      </w:r>
      <w:bookmarkEnd w:id="306"/>
      <w:bookmarkEnd w:id="307"/>
      <w:bookmarkEnd w:id="308"/>
    </w:p>
    <w:p w14:paraId="003940E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承包人应按合同约定对设计、材料、工程设备以及全部工程内容及其施工工艺进行全过程的质量检查和检验，并作详细记录，编制工程质量报表，报送监理人审查。</w:t>
      </w:r>
    </w:p>
    <w:p w14:paraId="15AE999D">
      <w:pPr>
        <w:pStyle w:val="4"/>
        <w:spacing w:before="156" w:beforeLines="50"/>
        <w:rPr>
          <w:rFonts w:hint="eastAsia" w:ascii="宋体" w:hAnsi="宋体" w:cs="宋体"/>
          <w:sz w:val="36"/>
          <w:szCs w:val="28"/>
          <w:highlight w:val="none"/>
        </w:rPr>
      </w:pPr>
      <w:bookmarkStart w:id="309" w:name="_Toc247514131"/>
      <w:bookmarkStart w:id="310" w:name="_Toc247527732"/>
      <w:bookmarkStart w:id="311" w:name="_Toc480909871"/>
      <w:r>
        <w:rPr>
          <w:rFonts w:hint="eastAsia" w:ascii="宋体" w:hAnsi="宋体" w:cs="宋体"/>
          <w:sz w:val="36"/>
          <w:szCs w:val="28"/>
          <w:highlight w:val="none"/>
        </w:rPr>
        <w:t>13.3 监理人的质量检查</w:t>
      </w:r>
      <w:bookmarkEnd w:id="309"/>
      <w:bookmarkEnd w:id="310"/>
      <w:bookmarkEnd w:id="311"/>
    </w:p>
    <w:p w14:paraId="37F7E49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监理人有权对全部工程内容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0913D693">
      <w:pPr>
        <w:pStyle w:val="4"/>
        <w:spacing w:before="156" w:beforeLines="50"/>
        <w:rPr>
          <w:rFonts w:hint="eastAsia" w:ascii="宋体" w:hAnsi="宋体" w:cs="宋体"/>
          <w:sz w:val="36"/>
          <w:szCs w:val="28"/>
          <w:highlight w:val="none"/>
        </w:rPr>
      </w:pPr>
      <w:bookmarkStart w:id="312" w:name="_Toc247514132"/>
      <w:bookmarkStart w:id="313" w:name="_Toc480909872"/>
      <w:bookmarkStart w:id="314" w:name="_Toc247527733"/>
      <w:r>
        <w:rPr>
          <w:rFonts w:hint="eastAsia" w:ascii="宋体" w:hAnsi="宋体" w:cs="宋体"/>
          <w:sz w:val="36"/>
          <w:szCs w:val="28"/>
          <w:highlight w:val="none"/>
        </w:rPr>
        <w:t>13.4 工程隐蔽部位覆盖前的检查</w:t>
      </w:r>
      <w:bookmarkEnd w:id="312"/>
      <w:bookmarkEnd w:id="313"/>
      <w:bookmarkEnd w:id="314"/>
    </w:p>
    <w:p w14:paraId="053E557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13.4.1 通知监理人检查</w:t>
      </w:r>
    </w:p>
    <w:p w14:paraId="358A169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0A6E2F8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13.4.2 监理人未到场检查</w:t>
      </w:r>
    </w:p>
    <w:p w14:paraId="06EF3A5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监理人未按第13.4.l 项约定的时间进行检查的，除监理人另有指示外，承包人可自行完成覆盖工作，并作相应记录报送监理人，监理人应签字确认。监理人事后对检查记录有疑问的，可按第13.4.3 项的约定重新检查。</w:t>
      </w:r>
    </w:p>
    <w:p w14:paraId="5C86667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13.4.3 监理人重新检查</w:t>
      </w:r>
    </w:p>
    <w:p w14:paraId="70BB8A9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承包人按第13.4.1 项或第13.4.2 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397B201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13.4.4 承包人私自覆盖</w:t>
      </w:r>
    </w:p>
    <w:p w14:paraId="387B6FE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承包人未通知监理人到场检查，私自将工程隐蔽部位覆盖的，监理人有权指示承包人钻孔探测或揭开检查，由此增加的费用和（或）工期延误由承包人承担。</w:t>
      </w:r>
    </w:p>
    <w:p w14:paraId="1FCCF6CD">
      <w:pPr>
        <w:pStyle w:val="4"/>
        <w:spacing w:before="156" w:beforeLines="50"/>
        <w:rPr>
          <w:rFonts w:hint="eastAsia" w:ascii="宋体" w:hAnsi="宋体" w:cs="宋体"/>
          <w:sz w:val="36"/>
          <w:szCs w:val="28"/>
          <w:highlight w:val="none"/>
        </w:rPr>
      </w:pPr>
      <w:bookmarkStart w:id="315" w:name="_Toc247514133"/>
      <w:bookmarkStart w:id="316" w:name="_Toc480909873"/>
      <w:bookmarkStart w:id="317" w:name="_Toc247527734"/>
      <w:r>
        <w:rPr>
          <w:rFonts w:hint="eastAsia" w:ascii="宋体" w:hAnsi="宋体" w:cs="宋体"/>
          <w:sz w:val="36"/>
          <w:szCs w:val="28"/>
          <w:highlight w:val="none"/>
        </w:rPr>
        <w:t>13.5 清除不合格工程</w:t>
      </w:r>
      <w:bookmarkEnd w:id="315"/>
      <w:bookmarkEnd w:id="316"/>
      <w:bookmarkEnd w:id="317"/>
    </w:p>
    <w:p w14:paraId="48221B37">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13.5.1</w:t>
      </w:r>
      <w:r>
        <w:rPr>
          <w:rFonts w:hint="eastAsia" w:ascii="宋体" w:hAnsi="宋体" w:cs="宋体"/>
          <w:sz w:val="22"/>
          <w:highlight w:val="none"/>
        </w:rPr>
        <w:t xml:space="preserve"> 因承包人设计失误，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8FA23D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13.5.2 </w:t>
      </w:r>
      <w:r>
        <w:rPr>
          <w:rFonts w:hint="eastAsia" w:ascii="宋体" w:hAnsi="宋体" w:cs="宋体"/>
          <w:sz w:val="22"/>
          <w:highlight w:val="none"/>
        </w:rPr>
        <w:t>由于发包人提供的材料或工程设备不合格造成的工程不合格，需要承包人采取措施补救的，发包人应承担由此增加的费用和（或）工期延误，并支付承包人合理利润。</w:t>
      </w:r>
    </w:p>
    <w:p w14:paraId="3F96A472">
      <w:pPr>
        <w:pStyle w:val="3"/>
        <w:spacing w:before="156" w:beforeLines="50" w:after="0" w:line="360" w:lineRule="auto"/>
        <w:rPr>
          <w:rFonts w:hint="eastAsia" w:ascii="宋体" w:hAnsi="宋体" w:cs="宋体"/>
          <w:b w:val="0"/>
          <w:highlight w:val="none"/>
        </w:rPr>
      </w:pPr>
      <w:bookmarkStart w:id="318" w:name="_Toc480909874"/>
      <w:bookmarkStart w:id="319" w:name="_Toc184635111"/>
      <w:bookmarkStart w:id="320" w:name="_Toc247527735"/>
      <w:bookmarkStart w:id="321" w:name="_Toc247514134"/>
      <w:r>
        <w:rPr>
          <w:rFonts w:hint="eastAsia" w:ascii="宋体" w:hAnsi="宋体" w:cs="宋体"/>
          <w:b w:val="0"/>
          <w:highlight w:val="none"/>
        </w:rPr>
        <w:t>14. 试验和检验</w:t>
      </w:r>
      <w:bookmarkEnd w:id="318"/>
      <w:bookmarkEnd w:id="319"/>
      <w:bookmarkEnd w:id="320"/>
      <w:bookmarkEnd w:id="321"/>
    </w:p>
    <w:p w14:paraId="022B14E7">
      <w:pPr>
        <w:pStyle w:val="4"/>
        <w:spacing w:before="156" w:beforeLines="50"/>
        <w:rPr>
          <w:rFonts w:hint="eastAsia" w:ascii="宋体" w:hAnsi="宋体" w:cs="宋体"/>
          <w:sz w:val="36"/>
          <w:szCs w:val="28"/>
          <w:highlight w:val="none"/>
        </w:rPr>
      </w:pPr>
      <w:bookmarkStart w:id="322" w:name="_Toc247527736"/>
      <w:bookmarkStart w:id="323" w:name="_Toc480909875"/>
      <w:bookmarkStart w:id="324" w:name="_Toc247514135"/>
      <w:r>
        <w:rPr>
          <w:rFonts w:hint="eastAsia" w:ascii="宋体" w:hAnsi="宋体" w:cs="宋体"/>
          <w:sz w:val="36"/>
          <w:szCs w:val="28"/>
          <w:highlight w:val="none"/>
        </w:rPr>
        <w:t>14.1 材料、工程设备和工程的试验和检验</w:t>
      </w:r>
      <w:bookmarkEnd w:id="322"/>
      <w:bookmarkEnd w:id="323"/>
      <w:bookmarkEnd w:id="324"/>
    </w:p>
    <w:p w14:paraId="3B204DAC">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14.1.1</w:t>
      </w:r>
      <w:r>
        <w:rPr>
          <w:rFonts w:hint="eastAsia" w:ascii="宋体" w:hAnsi="宋体" w:cs="宋体"/>
          <w:sz w:val="22"/>
          <w:highlight w:val="none"/>
        </w:rPr>
        <w:t xml:space="preserve"> 本款适用于竣工试验之前的试验和检验。</w:t>
      </w:r>
    </w:p>
    <w:p w14:paraId="3567A5A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14.1.2 </w:t>
      </w:r>
      <w:r>
        <w:rPr>
          <w:rFonts w:hint="eastAsia" w:ascii="宋体" w:hAnsi="宋体" w:cs="宋体"/>
          <w:sz w:val="22"/>
          <w:highlight w:val="none"/>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35E58A7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14.1.3</w:t>
      </w:r>
      <w:r>
        <w:rPr>
          <w:rFonts w:hint="eastAsia" w:ascii="宋体" w:hAnsi="宋体" w:cs="宋体"/>
          <w:sz w:val="22"/>
          <w:highlight w:val="none"/>
        </w:rPr>
        <w:t xml:space="preserve"> 监理人未按合同约定派员参加试验和检验的，除监理人另有指示外，承包人可自行试验和检验，并应立即将试验和检验结果报送监理人，监理人应签字确认。</w:t>
      </w:r>
    </w:p>
    <w:p w14:paraId="4B99203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14.1.4</w:t>
      </w:r>
      <w:r>
        <w:rPr>
          <w:rFonts w:hint="eastAsia" w:ascii="宋体" w:hAnsi="宋体" w:cs="宋体"/>
          <w:sz w:val="22"/>
          <w:highlight w:val="none"/>
        </w:rPr>
        <w:t xml:space="preserve">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4EFE8E2C">
      <w:pPr>
        <w:pStyle w:val="4"/>
        <w:spacing w:before="156" w:beforeLines="50"/>
        <w:rPr>
          <w:rFonts w:hint="eastAsia" w:ascii="宋体" w:hAnsi="宋体" w:cs="宋体"/>
          <w:sz w:val="36"/>
          <w:szCs w:val="28"/>
          <w:highlight w:val="none"/>
        </w:rPr>
      </w:pPr>
      <w:bookmarkStart w:id="325" w:name="_Toc247527737"/>
      <w:bookmarkStart w:id="326" w:name="_Toc247514136"/>
      <w:bookmarkStart w:id="327" w:name="_Toc480909876"/>
      <w:r>
        <w:rPr>
          <w:rFonts w:hint="eastAsia" w:ascii="宋体" w:hAnsi="宋体" w:cs="宋体"/>
          <w:sz w:val="36"/>
          <w:szCs w:val="28"/>
          <w:highlight w:val="none"/>
        </w:rPr>
        <w:t>14.2 现场材料试验</w:t>
      </w:r>
      <w:bookmarkEnd w:id="325"/>
      <w:bookmarkEnd w:id="326"/>
      <w:bookmarkEnd w:id="327"/>
    </w:p>
    <w:p w14:paraId="4B3067F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14.2.1 承包人根据合同约定或监理人指示进行的现场材料试验，应由承包人提供试验场所、试验人员、试验设备器材以及其他必要的试验条件。</w:t>
      </w:r>
    </w:p>
    <w:p w14:paraId="7CA1BDB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14.2.2 监理人在必要时可以使用承包人的试验场所、试验设备器材以及其他试验条件，进行以工程质量检查为目的的复核性材料试验，承包人应予以协助。</w:t>
      </w:r>
    </w:p>
    <w:p w14:paraId="4048774D">
      <w:pPr>
        <w:pStyle w:val="4"/>
        <w:spacing w:before="156" w:beforeLines="50"/>
        <w:rPr>
          <w:rFonts w:hint="eastAsia" w:ascii="宋体" w:hAnsi="宋体" w:cs="宋体"/>
          <w:sz w:val="36"/>
          <w:szCs w:val="28"/>
          <w:highlight w:val="none"/>
        </w:rPr>
      </w:pPr>
      <w:bookmarkStart w:id="328" w:name="_Toc247514137"/>
      <w:bookmarkStart w:id="329" w:name="_Toc480909877"/>
      <w:bookmarkStart w:id="330" w:name="_Toc247527738"/>
      <w:r>
        <w:rPr>
          <w:rFonts w:hint="eastAsia" w:ascii="宋体" w:hAnsi="宋体" w:cs="宋体"/>
          <w:sz w:val="36"/>
          <w:szCs w:val="28"/>
          <w:highlight w:val="none"/>
        </w:rPr>
        <w:t>14.3 现场工艺试验</w:t>
      </w:r>
      <w:bookmarkEnd w:id="328"/>
      <w:bookmarkEnd w:id="329"/>
      <w:bookmarkEnd w:id="330"/>
    </w:p>
    <w:p w14:paraId="6FB190F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承包人应按合同约定或监理人指示进行现场工艺试验。对大型的现场工艺试验，监理人认为必要时，应由承包人根据监理人提出的工艺试验要求，编制工艺试验措施计划，报送监理人批准。</w:t>
      </w:r>
    </w:p>
    <w:p w14:paraId="7AC30AD3">
      <w:pPr>
        <w:pStyle w:val="3"/>
        <w:spacing w:before="156" w:beforeLines="50" w:after="0" w:line="360" w:lineRule="auto"/>
        <w:rPr>
          <w:rFonts w:hint="eastAsia" w:ascii="宋体" w:hAnsi="宋体" w:cs="宋体"/>
          <w:b w:val="0"/>
          <w:highlight w:val="none"/>
        </w:rPr>
      </w:pPr>
      <w:bookmarkStart w:id="331" w:name="_Toc247514138"/>
      <w:bookmarkStart w:id="332" w:name="_Toc247527739"/>
      <w:bookmarkStart w:id="333" w:name="_Toc480909878"/>
      <w:bookmarkStart w:id="334" w:name="_Toc184635112"/>
      <w:r>
        <w:rPr>
          <w:rFonts w:hint="eastAsia" w:ascii="宋体" w:hAnsi="宋体" w:cs="宋体"/>
          <w:b w:val="0"/>
          <w:highlight w:val="none"/>
        </w:rPr>
        <w:t>15. 变更</w:t>
      </w:r>
      <w:bookmarkEnd w:id="331"/>
      <w:bookmarkEnd w:id="332"/>
      <w:bookmarkEnd w:id="333"/>
      <w:bookmarkEnd w:id="334"/>
      <w:bookmarkStart w:id="335" w:name="_Toc247527740"/>
      <w:bookmarkStart w:id="336" w:name="_Toc247514139"/>
    </w:p>
    <w:p w14:paraId="61C9CE09">
      <w:pPr>
        <w:pStyle w:val="4"/>
        <w:spacing w:before="156" w:beforeLines="50"/>
        <w:rPr>
          <w:rFonts w:hint="eastAsia" w:ascii="宋体" w:hAnsi="宋体" w:cs="宋体"/>
          <w:sz w:val="36"/>
          <w:szCs w:val="28"/>
          <w:highlight w:val="none"/>
        </w:rPr>
      </w:pPr>
      <w:bookmarkStart w:id="337" w:name="_Toc480909879"/>
      <w:r>
        <w:rPr>
          <w:rFonts w:hint="eastAsia" w:ascii="宋体" w:hAnsi="宋体" w:cs="宋体"/>
          <w:sz w:val="36"/>
          <w:szCs w:val="28"/>
          <w:highlight w:val="none"/>
        </w:rPr>
        <w:t>15.1 变更权</w:t>
      </w:r>
      <w:bookmarkEnd w:id="335"/>
      <w:bookmarkEnd w:id="336"/>
      <w:bookmarkEnd w:id="337"/>
    </w:p>
    <w:p w14:paraId="10554F3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在履行合同过程中，经发包人同意，监理人可按第</w:t>
      </w:r>
      <w:r>
        <w:rPr>
          <w:rFonts w:hint="eastAsia" w:ascii="宋体" w:hAnsi="宋体" w:cs="宋体"/>
          <w:sz w:val="22"/>
          <w:szCs w:val="24"/>
          <w:highlight w:val="none"/>
        </w:rPr>
        <w:t xml:space="preserve">15.3 </w:t>
      </w:r>
      <w:r>
        <w:rPr>
          <w:rFonts w:hint="eastAsia" w:ascii="宋体" w:hAnsi="宋体" w:cs="宋体"/>
          <w:sz w:val="22"/>
          <w:highlight w:val="none"/>
        </w:rPr>
        <w:t>款约定的变更程序向承包人作出有关发包人要求改变的变更指示，承包人应遵照执行。变更应在相应内容实施前提出，否则发包人应承担承包人损失。没有监理人的变更指示，承包人不得擅自变更。</w:t>
      </w:r>
    </w:p>
    <w:p w14:paraId="79BA79A8">
      <w:pPr>
        <w:pStyle w:val="4"/>
        <w:spacing w:before="156" w:beforeLines="50"/>
        <w:rPr>
          <w:rFonts w:hint="eastAsia" w:ascii="宋体" w:hAnsi="宋体" w:cs="宋体"/>
          <w:sz w:val="36"/>
          <w:szCs w:val="28"/>
          <w:highlight w:val="none"/>
        </w:rPr>
      </w:pPr>
      <w:bookmarkStart w:id="338" w:name="_Toc247514140"/>
      <w:bookmarkStart w:id="339" w:name="_Toc480909880"/>
      <w:bookmarkStart w:id="340" w:name="_Toc247527741"/>
      <w:r>
        <w:rPr>
          <w:rFonts w:hint="eastAsia" w:ascii="宋体" w:hAnsi="宋体" w:cs="宋体"/>
          <w:sz w:val="36"/>
          <w:szCs w:val="28"/>
          <w:highlight w:val="none"/>
        </w:rPr>
        <w:t>15.2 承包人的合理化建议</w:t>
      </w:r>
      <w:bookmarkEnd w:id="338"/>
      <w:bookmarkEnd w:id="339"/>
      <w:bookmarkEnd w:id="340"/>
    </w:p>
    <w:p w14:paraId="2483D5C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15.2.1</w:t>
      </w:r>
      <w:r>
        <w:rPr>
          <w:rFonts w:hint="eastAsia" w:ascii="宋体" w:hAnsi="宋体" w:cs="宋体"/>
          <w:sz w:val="22"/>
          <w:highlight w:val="none"/>
        </w:rPr>
        <w:t xml:space="preserve"> 在履行合同过程中，承包人对发包人要求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Pr>
          <w:rFonts w:hint="eastAsia" w:ascii="宋体" w:hAnsi="宋体" w:cs="宋体"/>
          <w:sz w:val="22"/>
          <w:szCs w:val="24"/>
          <w:highlight w:val="none"/>
        </w:rPr>
        <w:t>15.3</w:t>
      </w:r>
      <w:r>
        <w:rPr>
          <w:rFonts w:hint="eastAsia" w:ascii="宋体" w:hAnsi="宋体" w:cs="宋体"/>
          <w:sz w:val="22"/>
          <w:highlight w:val="none"/>
        </w:rPr>
        <w:t>款约定向承包人发出变更指示。</w:t>
      </w:r>
    </w:p>
    <w:p w14:paraId="2B57A51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15.2.2</w:t>
      </w:r>
      <w:r>
        <w:rPr>
          <w:rFonts w:hint="eastAsia" w:ascii="宋体" w:hAnsi="宋体" w:cs="宋体"/>
          <w:sz w:val="22"/>
          <w:highlight w:val="none"/>
        </w:rPr>
        <w:t xml:space="preserve"> 承包人提出的合理化建议降低了合同价格、缩短了工期或者提高了工程经济效益的，发包人可按国家有关规定在专用合同条款中约定给予奖励。</w:t>
      </w:r>
    </w:p>
    <w:p w14:paraId="562BEF4B">
      <w:pPr>
        <w:pStyle w:val="4"/>
        <w:spacing w:before="156" w:beforeLines="50"/>
        <w:rPr>
          <w:rFonts w:hint="eastAsia" w:ascii="宋体" w:hAnsi="宋体" w:cs="宋体"/>
          <w:sz w:val="36"/>
          <w:szCs w:val="28"/>
          <w:highlight w:val="none"/>
        </w:rPr>
      </w:pPr>
      <w:bookmarkStart w:id="341" w:name="_Toc247527742"/>
      <w:bookmarkStart w:id="342" w:name="_Toc247514141"/>
      <w:bookmarkStart w:id="343" w:name="_Toc480909881"/>
      <w:r>
        <w:rPr>
          <w:rFonts w:hint="eastAsia" w:ascii="宋体" w:hAnsi="宋体" w:cs="宋体"/>
          <w:sz w:val="36"/>
          <w:szCs w:val="28"/>
          <w:highlight w:val="none"/>
        </w:rPr>
        <w:t>15.3 变更程序</w:t>
      </w:r>
      <w:bookmarkEnd w:id="341"/>
      <w:bookmarkEnd w:id="342"/>
      <w:bookmarkEnd w:id="343"/>
    </w:p>
    <w:p w14:paraId="1BB9FB47">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15.3.1 </w:t>
      </w:r>
      <w:r>
        <w:rPr>
          <w:rFonts w:hint="eastAsia" w:ascii="宋体" w:hAnsi="宋体" w:cs="宋体"/>
          <w:sz w:val="22"/>
          <w:highlight w:val="none"/>
        </w:rPr>
        <w:t>变更的提出</w:t>
      </w:r>
    </w:p>
    <w:p w14:paraId="06AE13C5">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在合同履行过程中，监理人可向承包人发出变更意向书。变更意向书应说明变更的具体内容和发包人对变更的时间要求，并附必要的相关资料。变更意向书应要求承包人提交包括拟实施变更工作的设计和计划、措施和竣工时间等内容的实施方案。发包人同意承包人根据变更意向书要求提交的变更实施方案的，由监理人按第15.3.3 项约定发出变更指示。</w:t>
      </w:r>
    </w:p>
    <w:p w14:paraId="4353DA25">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（2）承包人收到监理人按合同约定发出的文件，经检查认为其中存在对</w:t>
      </w:r>
      <w:r>
        <w:rPr>
          <w:rFonts w:hint="eastAsia" w:ascii="宋体" w:hAnsi="宋体" w:cs="宋体"/>
          <w:sz w:val="22"/>
          <w:highlight w:val="none"/>
        </w:rPr>
        <w:t>发包人要求</w:t>
      </w:r>
      <w:r>
        <w:rPr>
          <w:rFonts w:hint="eastAsia" w:ascii="宋体" w:hAnsi="宋体" w:cs="宋体"/>
          <w:sz w:val="22"/>
          <w:szCs w:val="24"/>
          <w:highlight w:val="none"/>
        </w:rPr>
        <w:t>变更情形的，可向监理人提出书面变更建议。变更建议应阐明要求变更的依据，以及实施该变更工作对合同价款和工期的影响，并附必要的图纸和说明。监理人收到承包人书面建议后，应与发包人共同研究，确认存在变更的，应在收到承包人书面建议后的14 天内作出变更指示。经研究后不同意作为变更的，应由监理人书面答复承包人。</w:t>
      </w:r>
    </w:p>
    <w:p w14:paraId="5EC7BE75">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（3）承包人</w:t>
      </w:r>
      <w:r>
        <w:rPr>
          <w:rFonts w:hint="eastAsia" w:ascii="宋体" w:hAnsi="宋体" w:cs="宋体"/>
          <w:sz w:val="22"/>
          <w:highlight w:val="none"/>
        </w:rPr>
        <w:t>收到监理人的变更意向书后认为难以实施此项变更的，应立即通知监理人，说明原因并附详细依据。监理人与承包人和发包人协商后确定撤销、改变或不改变原变更意向书。</w:t>
      </w:r>
    </w:p>
    <w:p w14:paraId="1C2EF3F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15.3.2</w:t>
      </w:r>
      <w:r>
        <w:rPr>
          <w:rFonts w:hint="eastAsia" w:ascii="宋体" w:hAnsi="宋体" w:cs="宋体"/>
          <w:sz w:val="22"/>
          <w:highlight w:val="none"/>
        </w:rPr>
        <w:t xml:space="preserve"> 变更估价</w:t>
      </w:r>
    </w:p>
    <w:p w14:paraId="1D47D80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监理人应按照</w:t>
      </w:r>
      <w:r>
        <w:rPr>
          <w:rFonts w:hint="eastAsia" w:ascii="宋体" w:hAnsi="宋体" w:cs="宋体"/>
          <w:sz w:val="22"/>
          <w:szCs w:val="24"/>
          <w:highlight w:val="none"/>
        </w:rPr>
        <w:t>第3.5 款</w:t>
      </w:r>
      <w:r>
        <w:rPr>
          <w:rFonts w:hint="eastAsia" w:ascii="宋体" w:hAnsi="宋体" w:cs="宋体"/>
          <w:sz w:val="22"/>
          <w:highlight w:val="none"/>
        </w:rPr>
        <w:t>商定或确定变更价格。变更价格应包括合理的利润，并应考虑承包人根据第</w:t>
      </w:r>
      <w:r>
        <w:rPr>
          <w:rFonts w:hint="eastAsia" w:ascii="宋体" w:hAnsi="宋体" w:cs="宋体"/>
          <w:sz w:val="22"/>
          <w:szCs w:val="24"/>
          <w:highlight w:val="none"/>
        </w:rPr>
        <w:t>15.2</w:t>
      </w:r>
      <w:r>
        <w:rPr>
          <w:rFonts w:hint="eastAsia" w:ascii="宋体" w:hAnsi="宋体" w:cs="宋体"/>
          <w:sz w:val="22"/>
          <w:highlight w:val="none"/>
        </w:rPr>
        <w:t>款提出的合理化建议。</w:t>
      </w:r>
    </w:p>
    <w:p w14:paraId="76A60E05">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15.3.3 </w:t>
      </w:r>
      <w:r>
        <w:rPr>
          <w:rFonts w:hint="eastAsia" w:ascii="宋体" w:hAnsi="宋体" w:cs="宋体"/>
          <w:sz w:val="22"/>
          <w:highlight w:val="none"/>
        </w:rPr>
        <w:t>变更指示</w:t>
      </w:r>
    </w:p>
    <w:p w14:paraId="1D1E32E8">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（1）变更指示只能由监理人发出。</w:t>
      </w:r>
    </w:p>
    <w:p w14:paraId="52CAF13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（2）变更指示应说明变更的目的、范围、变更内容以及变更的工程量及其进度和技术要求，并附有关图纸和文件</w:t>
      </w:r>
      <w:r>
        <w:rPr>
          <w:rFonts w:hint="eastAsia" w:ascii="宋体" w:hAnsi="宋体" w:cs="宋体"/>
          <w:sz w:val="22"/>
          <w:highlight w:val="none"/>
        </w:rPr>
        <w:t>。承包人收到变更指示后，应按变更指示进行变更工作。</w:t>
      </w:r>
    </w:p>
    <w:p w14:paraId="6A0441FD">
      <w:pPr>
        <w:pStyle w:val="4"/>
        <w:spacing w:before="156" w:beforeLines="50"/>
        <w:rPr>
          <w:rFonts w:hint="eastAsia" w:ascii="宋体" w:hAnsi="宋体" w:cs="宋体"/>
          <w:sz w:val="36"/>
          <w:szCs w:val="28"/>
          <w:highlight w:val="none"/>
        </w:rPr>
      </w:pPr>
      <w:bookmarkStart w:id="344" w:name="_Toc247527743"/>
      <w:bookmarkStart w:id="345" w:name="_Toc247514142"/>
      <w:bookmarkStart w:id="346" w:name="_Toc480909882"/>
      <w:r>
        <w:rPr>
          <w:rFonts w:hint="eastAsia" w:ascii="宋体" w:hAnsi="宋体" w:cs="宋体"/>
          <w:sz w:val="36"/>
          <w:szCs w:val="28"/>
          <w:highlight w:val="none"/>
        </w:rPr>
        <w:t>15.4 暂列金额</w:t>
      </w:r>
      <w:bookmarkEnd w:id="344"/>
      <w:bookmarkEnd w:id="345"/>
      <w:bookmarkEnd w:id="346"/>
    </w:p>
    <w:p w14:paraId="404C454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经发包人同意，承包人可使用暂列金额，但应按照</w:t>
      </w:r>
      <w:r>
        <w:rPr>
          <w:rFonts w:hint="eastAsia" w:ascii="宋体" w:hAnsi="宋体" w:cs="宋体"/>
          <w:sz w:val="22"/>
          <w:szCs w:val="24"/>
          <w:highlight w:val="none"/>
        </w:rPr>
        <w:t>第15.6</w:t>
      </w:r>
      <w:r>
        <w:rPr>
          <w:rFonts w:hint="eastAsia" w:ascii="宋体" w:hAnsi="宋体" w:cs="宋体"/>
          <w:sz w:val="22"/>
          <w:highlight w:val="none"/>
        </w:rPr>
        <w:t>款规定的程序进行，并对合同价格进行相应调整。</w:t>
      </w:r>
    </w:p>
    <w:p w14:paraId="7025B2A7">
      <w:pPr>
        <w:pStyle w:val="4"/>
        <w:spacing w:before="156" w:beforeLines="50"/>
        <w:rPr>
          <w:rFonts w:hint="eastAsia" w:ascii="宋体" w:hAnsi="宋体" w:cs="宋体"/>
          <w:sz w:val="36"/>
          <w:szCs w:val="28"/>
          <w:highlight w:val="none"/>
        </w:rPr>
      </w:pPr>
      <w:bookmarkStart w:id="347" w:name="_Toc480909883"/>
      <w:r>
        <w:rPr>
          <w:rFonts w:hint="eastAsia" w:ascii="宋体" w:hAnsi="宋体" w:cs="宋体"/>
          <w:sz w:val="36"/>
          <w:szCs w:val="28"/>
          <w:highlight w:val="none"/>
        </w:rPr>
        <w:t>15.5 计日工</w:t>
      </w:r>
      <w:bookmarkEnd w:id="347"/>
    </w:p>
    <w:p w14:paraId="538CB1F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签约合同价包括计日工的，按合同约定进行支付。</w:t>
      </w:r>
    </w:p>
    <w:p w14:paraId="7F1FC2A5">
      <w:pPr>
        <w:pStyle w:val="4"/>
        <w:spacing w:before="156" w:beforeLines="50"/>
        <w:rPr>
          <w:rFonts w:hint="eastAsia" w:ascii="宋体" w:hAnsi="宋体" w:cs="宋体"/>
          <w:sz w:val="36"/>
          <w:szCs w:val="28"/>
          <w:highlight w:val="none"/>
        </w:rPr>
      </w:pPr>
      <w:bookmarkStart w:id="348" w:name="_Toc480909884"/>
      <w:r>
        <w:rPr>
          <w:rFonts w:hint="eastAsia" w:ascii="宋体" w:hAnsi="宋体" w:cs="宋体"/>
          <w:sz w:val="36"/>
          <w:szCs w:val="28"/>
          <w:highlight w:val="none"/>
        </w:rPr>
        <w:t>15.6 暂估价</w:t>
      </w:r>
      <w:bookmarkEnd w:id="348"/>
    </w:p>
    <w:p w14:paraId="12FFDD83">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 xml:space="preserve">15.6.1 </w:t>
      </w:r>
      <w:r>
        <w:rPr>
          <w:rFonts w:hint="eastAsia" w:ascii="宋体" w:hAnsi="宋体" w:cs="宋体"/>
          <w:sz w:val="22"/>
          <w:highlight w:val="none"/>
        </w:rPr>
        <w:t>发包人在价格清单中给定暂估价的专业服务、材料、工程设备和专业工程属于依法必须招标的范围并达到规定的规模标准的，由发包人和承包人以招标的方式选择供应商或分包人。发包人和承包人的权利义务关系在专用合同条款中约定。中标金额与价格清单中所列的暂估价的金额差以及相应的税金等其他</w:t>
      </w:r>
      <w:r>
        <w:rPr>
          <w:rFonts w:hint="eastAsia" w:ascii="宋体" w:hAnsi="宋体" w:cs="宋体"/>
          <w:sz w:val="22"/>
          <w:szCs w:val="24"/>
          <w:highlight w:val="none"/>
        </w:rPr>
        <w:t>费用列入合同价格。</w:t>
      </w:r>
    </w:p>
    <w:p w14:paraId="70C5D8D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15.6.2</w:t>
      </w:r>
      <w:r>
        <w:rPr>
          <w:rFonts w:hint="eastAsia" w:ascii="宋体" w:hAnsi="宋体" w:cs="宋体"/>
          <w:sz w:val="22"/>
          <w:highlight w:val="none"/>
        </w:rPr>
        <w:t xml:space="preserve"> 发包人在价格清单中给定暂估价的专业服务、材料和工程设备不属于依法必须招标的范围或未达到规定的规模标准的，应由承</w:t>
      </w:r>
      <w:r>
        <w:rPr>
          <w:rFonts w:hint="eastAsia" w:ascii="宋体" w:hAnsi="宋体" w:cs="宋体"/>
          <w:sz w:val="22"/>
          <w:szCs w:val="24"/>
          <w:highlight w:val="none"/>
        </w:rPr>
        <w:t>包人按第6.1 款的约</w:t>
      </w:r>
      <w:r>
        <w:rPr>
          <w:rFonts w:hint="eastAsia" w:ascii="宋体" w:hAnsi="宋体" w:cs="宋体"/>
          <w:sz w:val="22"/>
          <w:highlight w:val="none"/>
        </w:rPr>
        <w:t>定提供。经监理人确认的专业服务、材料、工程设备的价格与价格清单中所列的暂估价的金额差以及相应的税金等其他费用列入合同价格。</w:t>
      </w:r>
    </w:p>
    <w:p w14:paraId="7768593C">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15.6.3 </w:t>
      </w:r>
      <w:r>
        <w:rPr>
          <w:rFonts w:hint="eastAsia" w:ascii="宋体" w:hAnsi="宋体" w:cs="宋体"/>
          <w:sz w:val="22"/>
          <w:highlight w:val="none"/>
        </w:rPr>
        <w:t>发包人在价格清单中给定暂估价的专业工程不属于依法必须招标的范围或未达到规定的规模标准的，由监理人按照</w:t>
      </w:r>
      <w:r>
        <w:rPr>
          <w:rFonts w:hint="eastAsia" w:ascii="宋体" w:hAnsi="宋体" w:cs="宋体"/>
          <w:sz w:val="22"/>
          <w:szCs w:val="24"/>
          <w:highlight w:val="none"/>
        </w:rPr>
        <w:t>第15.3.2项进行</w:t>
      </w:r>
      <w:r>
        <w:rPr>
          <w:rFonts w:hint="eastAsia" w:ascii="宋体" w:hAnsi="宋体" w:cs="宋体"/>
          <w:sz w:val="22"/>
          <w:highlight w:val="none"/>
        </w:rPr>
        <w:t>估价，但专用合同条款另有约定的除外。经估价的专业工程与价格清单中所列的暂估价的金额差以及相应的税金等其他费用列入合同价格。</w:t>
      </w:r>
    </w:p>
    <w:p w14:paraId="23167B23">
      <w:pPr>
        <w:pStyle w:val="3"/>
        <w:spacing w:before="156" w:beforeLines="50" w:after="0" w:line="360" w:lineRule="auto"/>
        <w:rPr>
          <w:rFonts w:hint="eastAsia" w:ascii="宋体" w:hAnsi="宋体" w:cs="宋体"/>
          <w:b w:val="0"/>
          <w:highlight w:val="none"/>
        </w:rPr>
      </w:pPr>
      <w:bookmarkStart w:id="349" w:name="_Toc480909885"/>
      <w:bookmarkStart w:id="350" w:name="_Toc247514143"/>
      <w:bookmarkStart w:id="351" w:name="_Toc184635113"/>
      <w:bookmarkStart w:id="352" w:name="_Toc247527744"/>
      <w:r>
        <w:rPr>
          <w:rFonts w:hint="eastAsia" w:ascii="宋体" w:hAnsi="宋体" w:cs="宋体"/>
          <w:b w:val="0"/>
          <w:highlight w:val="none"/>
        </w:rPr>
        <w:t>16. 价格调整</w:t>
      </w:r>
      <w:bookmarkEnd w:id="349"/>
      <w:bookmarkEnd w:id="350"/>
      <w:bookmarkEnd w:id="351"/>
      <w:bookmarkEnd w:id="352"/>
    </w:p>
    <w:p w14:paraId="70B96C75">
      <w:pPr>
        <w:pStyle w:val="4"/>
        <w:spacing w:before="156" w:beforeLines="50"/>
        <w:rPr>
          <w:rFonts w:hint="eastAsia" w:ascii="宋体" w:hAnsi="宋体" w:cs="宋体"/>
          <w:sz w:val="36"/>
          <w:szCs w:val="28"/>
          <w:highlight w:val="none"/>
        </w:rPr>
      </w:pPr>
      <w:bookmarkStart w:id="353" w:name="_Toc247527745"/>
      <w:bookmarkStart w:id="354" w:name="_Toc247514144"/>
      <w:bookmarkStart w:id="355" w:name="_Toc480909886"/>
      <w:r>
        <w:rPr>
          <w:rFonts w:hint="eastAsia" w:ascii="宋体" w:hAnsi="宋体" w:cs="宋体"/>
          <w:sz w:val="36"/>
          <w:szCs w:val="28"/>
          <w:highlight w:val="none"/>
        </w:rPr>
        <w:t>16.1 物价波动引起的调整</w:t>
      </w:r>
      <w:bookmarkEnd w:id="353"/>
      <w:bookmarkEnd w:id="354"/>
      <w:r>
        <w:rPr>
          <w:rFonts w:hint="eastAsia" w:ascii="宋体" w:hAnsi="宋体" w:cs="宋体"/>
          <w:sz w:val="36"/>
          <w:szCs w:val="28"/>
          <w:highlight w:val="none"/>
        </w:rPr>
        <w:t>（Ａ）</w:t>
      </w:r>
      <w:bookmarkEnd w:id="355"/>
    </w:p>
    <w:p w14:paraId="1D34FC2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除专用合同条款另有约定外，因物价波动引起的价格调整按照本款约定处理。</w:t>
      </w:r>
    </w:p>
    <w:p w14:paraId="24FAF036">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16.1.1</w:t>
      </w:r>
      <w:r>
        <w:rPr>
          <w:rFonts w:hint="eastAsia" w:ascii="宋体" w:hAnsi="宋体" w:cs="宋体"/>
          <w:sz w:val="22"/>
          <w:highlight w:val="none"/>
        </w:rPr>
        <w:t xml:space="preserve"> 采用价格指数调整价格差额（适用于投标函附录约定了价格指数和权重的）</w:t>
      </w:r>
    </w:p>
    <w:p w14:paraId="270C1E2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16.1.1.1</w:t>
      </w:r>
      <w:r>
        <w:rPr>
          <w:rFonts w:hint="eastAsia" w:ascii="宋体" w:hAnsi="宋体" w:cs="宋体"/>
          <w:sz w:val="22"/>
          <w:highlight w:val="none"/>
        </w:rPr>
        <w:t xml:space="preserve"> 价格调整公式</w:t>
      </w:r>
    </w:p>
    <w:p w14:paraId="1892668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因人工、材料和设备等价格波动影响合同价格时，根据投标函附录中的价格指数和权重表约定的数据，按以下公式计算差额并调整合同价格。</w:t>
      </w:r>
    </w:p>
    <w:p w14:paraId="28E52F6E">
      <w:pPr>
        <w:spacing w:line="220" w:lineRule="exact"/>
        <w:ind w:firstLine="2310" w:firstLineChars="1050"/>
        <w:rPr>
          <w:rFonts w:hint="eastAsia" w:ascii="宋体" w:hAnsi="宋体" w:cs="宋体"/>
          <w:sz w:val="22"/>
          <w:highlight w:val="none"/>
        </w:rPr>
      </w:pPr>
      <w:r>
        <w:rPr>
          <w:rFonts w:hint="eastAsia" w:ascii="宋体" w:hAnsi="宋体" w:cs="宋体"/>
          <w:sz w:val="22"/>
          <w:highlight w:val="none"/>
        </w:rPr>
        <w:t>F</w:t>
      </w:r>
      <w:r>
        <w:rPr>
          <w:rFonts w:hint="eastAsia" w:ascii="宋体" w:hAnsi="宋体" w:cs="宋体"/>
          <w:sz w:val="32"/>
          <w:szCs w:val="32"/>
          <w:highlight w:val="none"/>
          <w:vertAlign w:val="subscript"/>
        </w:rPr>
        <w:t>t1</w:t>
      </w:r>
      <w:r>
        <w:rPr>
          <w:rFonts w:hint="eastAsia" w:ascii="宋体" w:hAnsi="宋体" w:cs="宋体"/>
          <w:sz w:val="22"/>
          <w:highlight w:val="none"/>
          <w:vertAlign w:val="subscript"/>
        </w:rPr>
        <w:t xml:space="preserve">        </w:t>
      </w:r>
      <w:r>
        <w:rPr>
          <w:rFonts w:hint="eastAsia" w:ascii="宋体" w:hAnsi="宋体" w:cs="宋体"/>
          <w:sz w:val="22"/>
          <w:highlight w:val="none"/>
        </w:rPr>
        <w:t xml:space="preserve"> F</w:t>
      </w:r>
      <w:r>
        <w:rPr>
          <w:rFonts w:hint="eastAsia" w:ascii="宋体" w:hAnsi="宋体" w:cs="宋体"/>
          <w:sz w:val="32"/>
          <w:szCs w:val="32"/>
          <w:highlight w:val="none"/>
          <w:vertAlign w:val="subscript"/>
        </w:rPr>
        <w:t>t2</w:t>
      </w:r>
      <w:r>
        <w:rPr>
          <w:rFonts w:hint="eastAsia" w:ascii="宋体" w:hAnsi="宋体" w:cs="宋体"/>
          <w:sz w:val="22"/>
          <w:highlight w:val="none"/>
          <w:vertAlign w:val="subscript"/>
        </w:rPr>
        <w:t xml:space="preserve">         </w:t>
      </w:r>
      <w:r>
        <w:rPr>
          <w:rFonts w:hint="eastAsia" w:ascii="宋体" w:hAnsi="宋体" w:cs="宋体"/>
          <w:sz w:val="22"/>
          <w:highlight w:val="none"/>
        </w:rPr>
        <w:t>F</w:t>
      </w:r>
      <w:r>
        <w:rPr>
          <w:rFonts w:hint="eastAsia" w:ascii="宋体" w:hAnsi="宋体" w:cs="宋体"/>
          <w:sz w:val="32"/>
          <w:szCs w:val="32"/>
          <w:highlight w:val="none"/>
          <w:vertAlign w:val="subscript"/>
        </w:rPr>
        <w:t>t3</w:t>
      </w:r>
      <w:r>
        <w:rPr>
          <w:rFonts w:hint="eastAsia" w:ascii="宋体" w:hAnsi="宋体" w:cs="宋体"/>
          <w:sz w:val="22"/>
          <w:highlight w:val="none"/>
          <w:vertAlign w:val="subscript"/>
        </w:rPr>
        <w:t xml:space="preserve">                 </w:t>
      </w:r>
      <w:r>
        <w:rPr>
          <w:rFonts w:hint="eastAsia" w:ascii="宋体" w:hAnsi="宋体" w:cs="宋体"/>
          <w:sz w:val="22"/>
          <w:highlight w:val="none"/>
        </w:rPr>
        <w:t>F</w:t>
      </w:r>
      <w:r>
        <w:rPr>
          <w:rFonts w:hint="eastAsia" w:ascii="宋体" w:hAnsi="宋体" w:cs="宋体"/>
          <w:sz w:val="32"/>
          <w:szCs w:val="32"/>
          <w:highlight w:val="none"/>
          <w:vertAlign w:val="subscript"/>
        </w:rPr>
        <w:t>tn</w:t>
      </w:r>
    </w:p>
    <w:p w14:paraId="17380BCA">
      <w:pPr>
        <w:spacing w:line="220" w:lineRule="exact"/>
        <w:ind w:left="480" w:leftChars="200" w:firstLine="110" w:firstLineChars="50"/>
        <w:rPr>
          <w:rFonts w:hint="eastAsia" w:ascii="宋体" w:hAnsi="宋体" w:cs="宋体"/>
          <w:sz w:val="22"/>
          <w:highlight w:val="none"/>
        </w:rPr>
      </w:pPr>
      <w:r>
        <w:rPr>
          <w:rFonts w:hint="eastAsia" w:ascii="宋体" w:hAnsi="宋体" w:cs="宋体"/>
          <w:sz w:val="22"/>
          <w:highlight w:val="none"/>
        </w:rPr>
        <w:t>△P=P</w:t>
      </w:r>
      <w:r>
        <w:rPr>
          <w:rFonts w:hint="eastAsia" w:ascii="宋体" w:hAnsi="宋体" w:cs="宋体"/>
          <w:sz w:val="22"/>
          <w:highlight w:val="none"/>
          <w:vertAlign w:val="subscript"/>
        </w:rPr>
        <w:t>O</w:t>
      </w:r>
      <w:r>
        <w:rPr>
          <w:rFonts w:hint="eastAsia" w:ascii="宋体" w:hAnsi="宋体" w:cs="宋体"/>
          <w:sz w:val="22"/>
          <w:highlight w:val="none"/>
        </w:rPr>
        <w:t>［A+｛B</w:t>
      </w:r>
      <w:r>
        <w:rPr>
          <w:rFonts w:hint="eastAsia" w:ascii="宋体" w:hAnsi="宋体" w:cs="宋体"/>
          <w:sz w:val="22"/>
          <w:highlight w:val="none"/>
          <w:vertAlign w:val="subscript"/>
        </w:rPr>
        <w:t>1</w:t>
      </w:r>
      <w:r>
        <w:rPr>
          <w:rFonts w:hint="eastAsia" w:ascii="宋体" w:hAnsi="宋体" w:cs="宋体"/>
          <w:sz w:val="22"/>
          <w:highlight w:val="none"/>
        </w:rPr>
        <w:t>×—＋B</w:t>
      </w:r>
      <w:r>
        <w:rPr>
          <w:rFonts w:hint="eastAsia" w:ascii="宋体" w:hAnsi="宋体" w:cs="宋体"/>
          <w:sz w:val="22"/>
          <w:highlight w:val="none"/>
          <w:vertAlign w:val="subscript"/>
        </w:rPr>
        <w:t>2</w:t>
      </w:r>
      <w:r>
        <w:rPr>
          <w:rFonts w:hint="eastAsia" w:ascii="宋体" w:hAnsi="宋体" w:cs="宋体"/>
          <w:sz w:val="22"/>
          <w:highlight w:val="none"/>
        </w:rPr>
        <w:t>×—＋B</w:t>
      </w:r>
      <w:r>
        <w:rPr>
          <w:rFonts w:hint="eastAsia" w:ascii="宋体" w:hAnsi="宋体" w:cs="宋体"/>
          <w:sz w:val="22"/>
          <w:highlight w:val="none"/>
          <w:vertAlign w:val="subscript"/>
        </w:rPr>
        <w:t>3</w:t>
      </w:r>
      <w:r>
        <w:rPr>
          <w:rFonts w:hint="eastAsia" w:ascii="宋体" w:hAnsi="宋体" w:cs="宋体"/>
          <w:sz w:val="22"/>
          <w:highlight w:val="none"/>
        </w:rPr>
        <w:t>×—＋…＋B</w:t>
      </w:r>
      <w:r>
        <w:rPr>
          <w:rFonts w:hint="eastAsia" w:ascii="宋体" w:hAnsi="宋体" w:cs="宋体"/>
          <w:sz w:val="22"/>
          <w:highlight w:val="none"/>
          <w:vertAlign w:val="subscript"/>
        </w:rPr>
        <w:t>n</w:t>
      </w:r>
      <w:r>
        <w:rPr>
          <w:rFonts w:hint="eastAsia" w:ascii="宋体" w:hAnsi="宋体" w:cs="宋体"/>
          <w:sz w:val="22"/>
          <w:highlight w:val="none"/>
        </w:rPr>
        <w:t xml:space="preserve">×—｝－1］ </w:t>
      </w:r>
    </w:p>
    <w:p w14:paraId="26FA6CF3">
      <w:pPr>
        <w:spacing w:line="220" w:lineRule="exact"/>
        <w:ind w:left="480" w:leftChars="200" w:firstLine="1870" w:firstLineChars="850"/>
        <w:rPr>
          <w:rFonts w:hint="eastAsia" w:ascii="宋体" w:hAnsi="宋体" w:cs="宋体"/>
          <w:sz w:val="22"/>
          <w:highlight w:val="none"/>
        </w:rPr>
      </w:pPr>
      <w:r>
        <w:rPr>
          <w:rFonts w:hint="eastAsia" w:ascii="宋体" w:hAnsi="宋体" w:cs="宋体"/>
          <w:sz w:val="22"/>
          <w:highlight w:val="none"/>
        </w:rPr>
        <w:t>F</w:t>
      </w:r>
      <w:r>
        <w:rPr>
          <w:rFonts w:hint="eastAsia" w:ascii="宋体" w:hAnsi="宋体" w:cs="宋体"/>
          <w:sz w:val="32"/>
          <w:szCs w:val="32"/>
          <w:highlight w:val="none"/>
          <w:vertAlign w:val="subscript"/>
        </w:rPr>
        <w:t xml:space="preserve">01        </w:t>
      </w:r>
      <w:r>
        <w:rPr>
          <w:rFonts w:hint="eastAsia" w:ascii="宋体" w:hAnsi="宋体" w:cs="宋体"/>
          <w:sz w:val="22"/>
          <w:highlight w:val="none"/>
        </w:rPr>
        <w:t>F</w:t>
      </w:r>
      <w:r>
        <w:rPr>
          <w:rFonts w:hint="eastAsia" w:ascii="宋体" w:hAnsi="宋体" w:cs="宋体"/>
          <w:sz w:val="32"/>
          <w:szCs w:val="32"/>
          <w:highlight w:val="none"/>
          <w:vertAlign w:val="subscript"/>
        </w:rPr>
        <w:t xml:space="preserve">02       </w:t>
      </w:r>
      <w:r>
        <w:rPr>
          <w:rFonts w:hint="eastAsia" w:ascii="宋体" w:hAnsi="宋体" w:cs="宋体"/>
          <w:sz w:val="22"/>
          <w:highlight w:val="none"/>
        </w:rPr>
        <w:t>F</w:t>
      </w:r>
      <w:r>
        <w:rPr>
          <w:rFonts w:hint="eastAsia" w:ascii="宋体" w:hAnsi="宋体" w:cs="宋体"/>
          <w:sz w:val="32"/>
          <w:szCs w:val="32"/>
          <w:highlight w:val="none"/>
          <w:vertAlign w:val="subscript"/>
        </w:rPr>
        <w:t xml:space="preserve">03              </w:t>
      </w:r>
      <w:r>
        <w:rPr>
          <w:rFonts w:hint="eastAsia" w:ascii="宋体" w:hAnsi="宋体" w:cs="宋体"/>
          <w:sz w:val="22"/>
          <w:highlight w:val="none"/>
        </w:rPr>
        <w:t>F</w:t>
      </w:r>
      <w:r>
        <w:rPr>
          <w:rFonts w:hint="eastAsia" w:ascii="宋体" w:hAnsi="宋体" w:cs="宋体"/>
          <w:sz w:val="32"/>
          <w:szCs w:val="32"/>
          <w:highlight w:val="none"/>
          <w:vertAlign w:val="subscript"/>
        </w:rPr>
        <w:t>04</w:t>
      </w:r>
    </w:p>
    <w:p w14:paraId="7BE0F61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式中：△P---需调整的价格差额；</w:t>
      </w:r>
    </w:p>
    <w:p w14:paraId="664E98D6">
      <w:pPr>
        <w:spacing w:line="360" w:lineRule="auto"/>
        <w:ind w:left="920" w:leftChars="200" w:hanging="440" w:hangingChars="200"/>
        <w:rPr>
          <w:rFonts w:hint="eastAsia" w:ascii="宋体" w:hAnsi="宋体" w:cs="宋体"/>
          <w:sz w:val="22"/>
          <w:highlight w:val="none"/>
        </w:rPr>
      </w:pPr>
      <w:r>
        <w:rPr>
          <w:rFonts w:hint="eastAsia" w:ascii="宋体" w:hAnsi="宋体" w:cs="宋体"/>
          <w:sz w:val="22"/>
          <w:highlight w:val="none"/>
        </w:rPr>
        <w:t>P</w:t>
      </w:r>
      <w:r>
        <w:rPr>
          <w:rFonts w:hint="eastAsia" w:ascii="宋体" w:hAnsi="宋体" w:cs="宋体"/>
          <w:sz w:val="22"/>
          <w:highlight w:val="none"/>
          <w:vertAlign w:val="subscript"/>
        </w:rPr>
        <w:t>O</w:t>
      </w:r>
      <w:r>
        <w:rPr>
          <w:rFonts w:hint="eastAsia" w:ascii="宋体" w:hAnsi="宋体" w:cs="宋体"/>
          <w:sz w:val="22"/>
          <w:highlight w:val="none"/>
        </w:rPr>
        <w:t>---第</w:t>
      </w:r>
      <w:r>
        <w:rPr>
          <w:rFonts w:hint="eastAsia" w:ascii="宋体" w:hAnsi="宋体" w:cs="宋体"/>
          <w:sz w:val="22"/>
          <w:szCs w:val="24"/>
          <w:highlight w:val="none"/>
        </w:rPr>
        <w:t xml:space="preserve">17.3.4 </w:t>
      </w:r>
      <w:r>
        <w:rPr>
          <w:rFonts w:hint="eastAsia" w:ascii="宋体" w:hAnsi="宋体" w:cs="宋体"/>
          <w:sz w:val="22"/>
          <w:highlight w:val="none"/>
        </w:rPr>
        <w:t>项、第</w:t>
      </w:r>
      <w:r>
        <w:rPr>
          <w:rFonts w:hint="eastAsia" w:ascii="宋体" w:hAnsi="宋体" w:cs="宋体"/>
          <w:sz w:val="22"/>
          <w:szCs w:val="24"/>
          <w:highlight w:val="none"/>
        </w:rPr>
        <w:t xml:space="preserve">17.5.2 </w:t>
      </w:r>
      <w:r>
        <w:rPr>
          <w:rFonts w:hint="eastAsia" w:ascii="宋体" w:hAnsi="宋体" w:cs="宋体"/>
          <w:sz w:val="22"/>
          <w:highlight w:val="none"/>
        </w:rPr>
        <w:t>项和第</w:t>
      </w:r>
      <w:r>
        <w:rPr>
          <w:rFonts w:hint="eastAsia" w:ascii="宋体" w:hAnsi="宋体" w:cs="宋体"/>
          <w:sz w:val="22"/>
          <w:szCs w:val="24"/>
          <w:highlight w:val="none"/>
        </w:rPr>
        <w:t xml:space="preserve">17.6.2 </w:t>
      </w:r>
      <w:r>
        <w:rPr>
          <w:rFonts w:hint="eastAsia" w:ascii="宋体" w:hAnsi="宋体" w:cs="宋体"/>
          <w:sz w:val="22"/>
          <w:highlight w:val="none"/>
        </w:rPr>
        <w:t>项约定的付款证书中承包人应得到的已完成工作量的金额。此项金额应不包括价格调整、不计质量保证金的扣留和支付、预付款的支付和扣回。第</w:t>
      </w:r>
      <w:r>
        <w:rPr>
          <w:rFonts w:hint="eastAsia" w:ascii="宋体" w:hAnsi="宋体" w:cs="宋体"/>
          <w:sz w:val="22"/>
          <w:szCs w:val="24"/>
          <w:highlight w:val="none"/>
        </w:rPr>
        <w:t>15</w:t>
      </w:r>
      <w:r>
        <w:rPr>
          <w:rFonts w:hint="eastAsia" w:ascii="宋体" w:hAnsi="宋体" w:cs="宋体"/>
          <w:sz w:val="22"/>
          <w:highlight w:val="none"/>
        </w:rPr>
        <w:t>条约定的变更及其他金额已按当期价格计价的，也不计在内；</w:t>
      </w:r>
    </w:p>
    <w:p w14:paraId="23369201">
      <w:pPr>
        <w:spacing w:line="360" w:lineRule="auto"/>
        <w:ind w:firstLine="440" w:firstLineChars="200"/>
        <w:rPr>
          <w:rFonts w:hint="eastAsia" w:ascii="宋体" w:hAnsi="宋体" w:cs="宋体"/>
          <w:sz w:val="22"/>
          <w:szCs w:val="24"/>
          <w:highlight w:val="none"/>
        </w:rPr>
      </w:pPr>
      <w:r>
        <w:rPr>
          <w:rFonts w:hint="eastAsia" w:ascii="宋体" w:hAnsi="宋体" w:cs="宋体"/>
          <w:sz w:val="22"/>
          <w:highlight w:val="none"/>
        </w:rPr>
        <w:t>A ---</w:t>
      </w:r>
      <w:r>
        <w:rPr>
          <w:rFonts w:hint="eastAsia" w:ascii="宋体" w:hAnsi="宋体" w:cs="宋体"/>
          <w:sz w:val="22"/>
          <w:szCs w:val="24"/>
          <w:highlight w:val="none"/>
        </w:rPr>
        <w:t xml:space="preserve">定值权重（即不调部分的权重）； </w:t>
      </w:r>
    </w:p>
    <w:p w14:paraId="30B4DFFD">
      <w:pPr>
        <w:spacing w:line="360" w:lineRule="auto"/>
        <w:ind w:left="920" w:leftChars="200" w:hanging="440" w:hangingChars="200"/>
        <w:rPr>
          <w:rFonts w:hint="eastAsia" w:ascii="宋体" w:hAnsi="宋体" w:cs="宋体"/>
          <w:sz w:val="22"/>
          <w:highlight w:val="none"/>
        </w:rPr>
      </w:pPr>
      <w:r>
        <w:rPr>
          <w:rFonts w:hint="eastAsia" w:ascii="宋体" w:hAnsi="宋体" w:cs="宋体"/>
          <w:sz w:val="22"/>
          <w:highlight w:val="none"/>
        </w:rPr>
        <w:t>B</w:t>
      </w:r>
      <w:r>
        <w:rPr>
          <w:rFonts w:hint="eastAsia" w:ascii="宋体" w:hAnsi="宋体" w:cs="宋体"/>
          <w:sz w:val="32"/>
          <w:szCs w:val="32"/>
          <w:highlight w:val="none"/>
          <w:vertAlign w:val="subscript"/>
        </w:rPr>
        <w:t>1</w:t>
      </w:r>
      <w:r>
        <w:rPr>
          <w:rFonts w:hint="eastAsia" w:ascii="宋体" w:hAnsi="宋体" w:cs="宋体"/>
          <w:sz w:val="22"/>
          <w:highlight w:val="none"/>
        </w:rPr>
        <w:t>；B</w:t>
      </w:r>
      <w:r>
        <w:rPr>
          <w:rFonts w:hint="eastAsia" w:ascii="宋体" w:hAnsi="宋体" w:cs="宋体"/>
          <w:sz w:val="32"/>
          <w:szCs w:val="32"/>
          <w:highlight w:val="none"/>
          <w:vertAlign w:val="subscript"/>
        </w:rPr>
        <w:t>2</w:t>
      </w:r>
      <w:r>
        <w:rPr>
          <w:rFonts w:hint="eastAsia" w:ascii="宋体" w:hAnsi="宋体" w:cs="宋体"/>
          <w:sz w:val="22"/>
          <w:highlight w:val="none"/>
        </w:rPr>
        <w:t>；B</w:t>
      </w:r>
      <w:r>
        <w:rPr>
          <w:rFonts w:hint="eastAsia" w:ascii="宋体" w:hAnsi="宋体" w:cs="宋体"/>
          <w:sz w:val="32"/>
          <w:szCs w:val="32"/>
          <w:highlight w:val="none"/>
          <w:vertAlign w:val="subscript"/>
        </w:rPr>
        <w:t>3</w:t>
      </w:r>
      <w:r>
        <w:rPr>
          <w:rFonts w:hint="eastAsia" w:ascii="宋体" w:hAnsi="宋体" w:cs="宋体"/>
          <w:sz w:val="22"/>
          <w:highlight w:val="none"/>
        </w:rPr>
        <w:t>；……B</w:t>
      </w:r>
      <w:r>
        <w:rPr>
          <w:rFonts w:hint="eastAsia" w:ascii="宋体" w:hAnsi="宋体" w:cs="宋体"/>
          <w:sz w:val="32"/>
          <w:szCs w:val="32"/>
          <w:highlight w:val="none"/>
          <w:vertAlign w:val="subscript"/>
        </w:rPr>
        <w:t>n</w:t>
      </w:r>
      <w:r>
        <w:rPr>
          <w:rFonts w:hint="eastAsia" w:ascii="宋体" w:hAnsi="宋体" w:cs="宋体"/>
          <w:sz w:val="22"/>
          <w:highlight w:val="none"/>
        </w:rPr>
        <w:t>---各可调因子的变值权重（即可调部分的权重）为各可调因子在投标函投标总报价中所占的比例；</w:t>
      </w:r>
    </w:p>
    <w:p w14:paraId="352FA40A">
      <w:pPr>
        <w:spacing w:line="360" w:lineRule="auto"/>
        <w:ind w:left="920" w:leftChars="200" w:hanging="440" w:hangingChars="200"/>
        <w:rPr>
          <w:rFonts w:hint="eastAsia" w:ascii="宋体" w:hAnsi="宋体" w:cs="宋体"/>
          <w:sz w:val="22"/>
          <w:highlight w:val="none"/>
        </w:rPr>
      </w:pPr>
      <w:r>
        <w:rPr>
          <w:rFonts w:hint="eastAsia" w:ascii="宋体" w:hAnsi="宋体" w:cs="宋体"/>
          <w:sz w:val="22"/>
          <w:highlight w:val="none"/>
        </w:rPr>
        <w:t>F</w:t>
      </w:r>
      <w:r>
        <w:rPr>
          <w:rFonts w:hint="eastAsia" w:ascii="宋体" w:hAnsi="宋体" w:cs="宋体"/>
          <w:sz w:val="32"/>
          <w:szCs w:val="32"/>
          <w:highlight w:val="none"/>
          <w:vertAlign w:val="subscript"/>
        </w:rPr>
        <w:t>t1</w:t>
      </w:r>
      <w:r>
        <w:rPr>
          <w:rFonts w:hint="eastAsia" w:ascii="宋体" w:hAnsi="宋体" w:cs="宋体"/>
          <w:sz w:val="22"/>
          <w:highlight w:val="none"/>
        </w:rPr>
        <w:t>；F</w:t>
      </w:r>
      <w:r>
        <w:rPr>
          <w:rFonts w:hint="eastAsia" w:ascii="宋体" w:hAnsi="宋体" w:cs="宋体"/>
          <w:sz w:val="32"/>
          <w:szCs w:val="32"/>
          <w:highlight w:val="none"/>
          <w:vertAlign w:val="subscript"/>
        </w:rPr>
        <w:t>t2</w:t>
      </w:r>
      <w:r>
        <w:rPr>
          <w:rFonts w:hint="eastAsia" w:ascii="宋体" w:hAnsi="宋体" w:cs="宋体"/>
          <w:sz w:val="22"/>
          <w:highlight w:val="none"/>
        </w:rPr>
        <w:t>；F</w:t>
      </w:r>
      <w:r>
        <w:rPr>
          <w:rFonts w:hint="eastAsia" w:ascii="宋体" w:hAnsi="宋体" w:cs="宋体"/>
          <w:sz w:val="32"/>
          <w:szCs w:val="32"/>
          <w:highlight w:val="none"/>
          <w:vertAlign w:val="subscript"/>
        </w:rPr>
        <w:t>t3</w:t>
      </w:r>
      <w:r>
        <w:rPr>
          <w:rFonts w:hint="eastAsia" w:ascii="宋体" w:hAnsi="宋体" w:cs="宋体"/>
          <w:sz w:val="22"/>
          <w:highlight w:val="none"/>
        </w:rPr>
        <w:t>；……F</w:t>
      </w:r>
      <w:r>
        <w:rPr>
          <w:rFonts w:hint="eastAsia" w:ascii="宋体" w:hAnsi="宋体" w:cs="宋体"/>
          <w:sz w:val="32"/>
          <w:szCs w:val="32"/>
          <w:highlight w:val="none"/>
          <w:vertAlign w:val="subscript"/>
        </w:rPr>
        <w:t>tn</w:t>
      </w:r>
      <w:r>
        <w:rPr>
          <w:rFonts w:hint="eastAsia" w:ascii="宋体" w:hAnsi="宋体" w:cs="宋体"/>
          <w:sz w:val="22"/>
          <w:highlight w:val="none"/>
        </w:rPr>
        <w:t>---各可调因子的当期价格指数，指</w:t>
      </w:r>
      <w:r>
        <w:rPr>
          <w:rFonts w:hint="eastAsia" w:ascii="宋体" w:hAnsi="宋体" w:cs="宋体"/>
          <w:sz w:val="22"/>
          <w:szCs w:val="24"/>
          <w:highlight w:val="none"/>
        </w:rPr>
        <w:t>第17.3.3 项、第17.5.2 项</w:t>
      </w:r>
      <w:r>
        <w:rPr>
          <w:rFonts w:hint="eastAsia" w:ascii="宋体" w:hAnsi="宋体" w:cs="宋体"/>
          <w:sz w:val="22"/>
          <w:highlight w:val="none"/>
        </w:rPr>
        <w:t>和第</w:t>
      </w:r>
      <w:r>
        <w:rPr>
          <w:rFonts w:hint="eastAsia" w:ascii="宋体" w:hAnsi="宋体" w:cs="宋体"/>
          <w:sz w:val="22"/>
          <w:szCs w:val="24"/>
          <w:highlight w:val="none"/>
        </w:rPr>
        <w:t xml:space="preserve">17.6.2 </w:t>
      </w:r>
      <w:r>
        <w:rPr>
          <w:rFonts w:hint="eastAsia" w:ascii="宋体" w:hAnsi="宋体" w:cs="宋体"/>
          <w:sz w:val="22"/>
          <w:highlight w:val="none"/>
        </w:rPr>
        <w:t>项约定的付款证书相关周期最后一天的前42天的各可调因子的价格指数；</w:t>
      </w:r>
    </w:p>
    <w:p w14:paraId="07C9E4FA">
      <w:pPr>
        <w:spacing w:line="360" w:lineRule="auto"/>
        <w:ind w:firstLine="440" w:firstLineChars="200"/>
        <w:rPr>
          <w:rFonts w:hint="eastAsia" w:ascii="宋体" w:hAnsi="宋体" w:cs="宋体"/>
          <w:sz w:val="22"/>
          <w:szCs w:val="24"/>
          <w:highlight w:val="none"/>
        </w:rPr>
      </w:pPr>
      <w:r>
        <w:rPr>
          <w:rFonts w:hint="eastAsia" w:ascii="宋体" w:hAnsi="宋体" w:cs="宋体"/>
          <w:sz w:val="22"/>
          <w:highlight w:val="none"/>
        </w:rPr>
        <w:t>F</w:t>
      </w:r>
      <w:r>
        <w:rPr>
          <w:rFonts w:hint="eastAsia" w:ascii="宋体" w:hAnsi="宋体" w:cs="宋体"/>
          <w:sz w:val="32"/>
          <w:szCs w:val="32"/>
          <w:highlight w:val="none"/>
          <w:vertAlign w:val="subscript"/>
        </w:rPr>
        <w:t>01</w:t>
      </w:r>
      <w:r>
        <w:rPr>
          <w:rFonts w:hint="eastAsia" w:ascii="宋体" w:hAnsi="宋体" w:cs="宋体"/>
          <w:sz w:val="22"/>
          <w:szCs w:val="24"/>
          <w:highlight w:val="none"/>
        </w:rPr>
        <w:t>；</w:t>
      </w:r>
      <w:r>
        <w:rPr>
          <w:rFonts w:hint="eastAsia" w:ascii="宋体" w:hAnsi="宋体" w:cs="宋体"/>
          <w:sz w:val="22"/>
          <w:highlight w:val="none"/>
        </w:rPr>
        <w:t>F</w:t>
      </w:r>
      <w:r>
        <w:rPr>
          <w:rFonts w:hint="eastAsia" w:ascii="宋体" w:hAnsi="宋体" w:cs="宋体"/>
          <w:sz w:val="32"/>
          <w:szCs w:val="32"/>
          <w:highlight w:val="none"/>
          <w:vertAlign w:val="subscript"/>
        </w:rPr>
        <w:t>02</w:t>
      </w:r>
      <w:r>
        <w:rPr>
          <w:rFonts w:hint="eastAsia" w:ascii="宋体" w:hAnsi="宋体" w:cs="宋体"/>
          <w:sz w:val="22"/>
          <w:szCs w:val="24"/>
          <w:highlight w:val="none"/>
        </w:rPr>
        <w:t>；</w:t>
      </w:r>
      <w:r>
        <w:rPr>
          <w:rFonts w:hint="eastAsia" w:ascii="宋体" w:hAnsi="宋体" w:cs="宋体"/>
          <w:sz w:val="22"/>
          <w:highlight w:val="none"/>
        </w:rPr>
        <w:t>F</w:t>
      </w:r>
      <w:r>
        <w:rPr>
          <w:rFonts w:hint="eastAsia" w:ascii="宋体" w:hAnsi="宋体" w:cs="宋体"/>
          <w:sz w:val="32"/>
          <w:szCs w:val="32"/>
          <w:highlight w:val="none"/>
          <w:vertAlign w:val="subscript"/>
        </w:rPr>
        <w:t>03</w:t>
      </w:r>
      <w:r>
        <w:rPr>
          <w:rFonts w:hint="eastAsia" w:ascii="宋体" w:hAnsi="宋体" w:cs="宋体"/>
          <w:sz w:val="22"/>
          <w:szCs w:val="24"/>
          <w:highlight w:val="none"/>
        </w:rPr>
        <w:t>；……</w:t>
      </w:r>
      <w:r>
        <w:rPr>
          <w:rFonts w:hint="eastAsia" w:ascii="宋体" w:hAnsi="宋体" w:cs="宋体"/>
          <w:sz w:val="22"/>
          <w:highlight w:val="none"/>
        </w:rPr>
        <w:t>F</w:t>
      </w:r>
      <w:r>
        <w:rPr>
          <w:rFonts w:hint="eastAsia" w:ascii="宋体" w:hAnsi="宋体" w:cs="宋体"/>
          <w:sz w:val="32"/>
          <w:szCs w:val="32"/>
          <w:highlight w:val="none"/>
          <w:vertAlign w:val="subscript"/>
        </w:rPr>
        <w:t>0n</w:t>
      </w:r>
      <w:r>
        <w:rPr>
          <w:rFonts w:hint="eastAsia" w:ascii="宋体" w:hAnsi="宋体" w:cs="宋体"/>
          <w:sz w:val="22"/>
          <w:szCs w:val="24"/>
          <w:highlight w:val="none"/>
        </w:rPr>
        <w:t>---各可调因子的基本价格指数，指基准日期的各可调因子的价格指数。</w:t>
      </w:r>
    </w:p>
    <w:p w14:paraId="390B00D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5D8DC9F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16.1.1.2</w:t>
      </w:r>
      <w:r>
        <w:rPr>
          <w:rFonts w:hint="eastAsia" w:ascii="宋体" w:hAnsi="宋体" w:cs="宋体"/>
          <w:sz w:val="22"/>
          <w:highlight w:val="none"/>
        </w:rPr>
        <w:t xml:space="preserve"> 暂时确定调整差额</w:t>
      </w:r>
    </w:p>
    <w:p w14:paraId="7FA2F65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在计算调整差额时得不到当期价格指数的，可暂用上一次价格指数计算，并在以后的付款中再按实际价格指数进行调整。</w:t>
      </w:r>
    </w:p>
    <w:p w14:paraId="27166C3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w:t>
      </w:r>
      <w:r>
        <w:rPr>
          <w:rFonts w:hint="eastAsia" w:ascii="宋体" w:hAnsi="宋体" w:cs="宋体"/>
          <w:sz w:val="22"/>
          <w:szCs w:val="24"/>
          <w:highlight w:val="none"/>
        </w:rPr>
        <w:t>6.1.1.3</w:t>
      </w:r>
      <w:r>
        <w:rPr>
          <w:rFonts w:hint="eastAsia" w:ascii="宋体" w:hAnsi="宋体" w:cs="宋体"/>
          <w:sz w:val="22"/>
          <w:highlight w:val="none"/>
        </w:rPr>
        <w:t xml:space="preserve"> 权重的调整</w:t>
      </w:r>
    </w:p>
    <w:p w14:paraId="0608DFF9">
      <w:pPr>
        <w:ind w:firstLine="440" w:firstLineChars="200"/>
        <w:rPr>
          <w:rFonts w:hint="eastAsia" w:ascii="宋体" w:hAnsi="宋体" w:cs="宋体"/>
          <w:sz w:val="22"/>
          <w:highlight w:val="none"/>
        </w:rPr>
      </w:pPr>
      <w:r>
        <w:rPr>
          <w:rFonts w:hint="eastAsia" w:ascii="宋体" w:hAnsi="宋体" w:cs="宋体"/>
          <w:sz w:val="22"/>
          <w:highlight w:val="none"/>
        </w:rPr>
        <w:t>按第15.1 款约定的变更导致原定合同中的权重不合理的，由监理人与承包人和发包人协商后进行调整。</w:t>
      </w:r>
    </w:p>
    <w:p w14:paraId="42BEDB7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16.1.1.4</w:t>
      </w:r>
      <w:r>
        <w:rPr>
          <w:rFonts w:hint="eastAsia" w:ascii="宋体" w:hAnsi="宋体" w:cs="宋体"/>
          <w:sz w:val="22"/>
          <w:highlight w:val="none"/>
        </w:rPr>
        <w:t xml:space="preserve"> 承包人引起的工期延误后的价格调整</w:t>
      </w:r>
    </w:p>
    <w:p w14:paraId="4A8CF88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由于承包人原因未在约定的工期内竣工的，则对原约定竣工日期后继续施工的工程，在使用第</w:t>
      </w:r>
      <w:r>
        <w:rPr>
          <w:rFonts w:hint="eastAsia" w:ascii="宋体" w:hAnsi="宋体" w:cs="宋体"/>
          <w:sz w:val="22"/>
          <w:szCs w:val="24"/>
          <w:highlight w:val="none"/>
        </w:rPr>
        <w:t>16.1.1. 1</w:t>
      </w:r>
      <w:r>
        <w:rPr>
          <w:rFonts w:hint="eastAsia" w:ascii="宋体" w:hAnsi="宋体" w:cs="宋体"/>
          <w:sz w:val="22"/>
          <w:highlight w:val="none"/>
        </w:rPr>
        <w:t>目价格调整公式时，应采用原约定竣工日期与实际竣工日期的两个价格指数中较低的一个作为当期价格指数。</w:t>
      </w:r>
    </w:p>
    <w:p w14:paraId="73A9351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16.1.1.5</w:t>
      </w:r>
      <w:r>
        <w:rPr>
          <w:rFonts w:hint="eastAsia" w:ascii="宋体" w:hAnsi="宋体" w:cs="宋体"/>
          <w:sz w:val="22"/>
          <w:highlight w:val="none"/>
        </w:rPr>
        <w:t xml:space="preserve"> 发包人引起的工期延误后的价格调整</w:t>
      </w:r>
    </w:p>
    <w:p w14:paraId="4AB3A40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由于发包人原因未在约定的工期内竣工的，则对原约定竣工日期后继续施工的工程，在使用第</w:t>
      </w:r>
      <w:r>
        <w:rPr>
          <w:rFonts w:hint="eastAsia" w:ascii="宋体" w:hAnsi="宋体" w:cs="宋体"/>
          <w:sz w:val="22"/>
          <w:szCs w:val="24"/>
          <w:highlight w:val="none"/>
        </w:rPr>
        <w:t>16.1.1.1</w:t>
      </w:r>
      <w:r>
        <w:rPr>
          <w:rFonts w:hint="eastAsia" w:ascii="宋体" w:hAnsi="宋体" w:cs="宋体"/>
          <w:sz w:val="22"/>
          <w:highlight w:val="none"/>
        </w:rPr>
        <w:t>目价格调整公式时，应采用原约定竣工日期与实际竣工日期的两个价格指数中较高的一个作为当期价格指数。</w:t>
      </w:r>
    </w:p>
    <w:p w14:paraId="3C220C7C">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16.1.1</w:t>
      </w:r>
      <w:r>
        <w:rPr>
          <w:rFonts w:hint="eastAsia" w:ascii="宋体" w:hAnsi="宋体" w:cs="宋体"/>
          <w:sz w:val="22"/>
          <w:highlight w:val="none"/>
        </w:rPr>
        <w:t xml:space="preserve"> 采用造价信息调整价格差额（适用于投标函附录没有约定价格指数和权重的）</w:t>
      </w:r>
    </w:p>
    <w:p w14:paraId="063CE10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合同价格差额的依据。</w:t>
      </w:r>
    </w:p>
    <w:p w14:paraId="43814DD3">
      <w:pPr>
        <w:pStyle w:val="4"/>
        <w:spacing w:before="156" w:beforeLines="50"/>
        <w:rPr>
          <w:rFonts w:hint="eastAsia" w:ascii="宋体" w:hAnsi="宋体" w:cs="宋体"/>
          <w:sz w:val="36"/>
          <w:szCs w:val="28"/>
          <w:highlight w:val="none"/>
        </w:rPr>
      </w:pPr>
      <w:bookmarkStart w:id="356" w:name="_Toc265955482"/>
      <w:bookmarkStart w:id="357" w:name="_Toc480909887"/>
      <w:r>
        <w:rPr>
          <w:rFonts w:hint="eastAsia" w:ascii="宋体" w:hAnsi="宋体" w:cs="宋体"/>
          <w:sz w:val="36"/>
          <w:szCs w:val="28"/>
          <w:highlight w:val="none"/>
        </w:rPr>
        <w:t>16.1 物价波动引起的调整</w:t>
      </w:r>
      <w:bookmarkEnd w:id="356"/>
      <w:r>
        <w:rPr>
          <w:rFonts w:hint="eastAsia" w:ascii="宋体" w:hAnsi="宋体" w:cs="宋体"/>
          <w:sz w:val="36"/>
          <w:szCs w:val="28"/>
          <w:highlight w:val="none"/>
        </w:rPr>
        <w:t>（B）</w:t>
      </w:r>
      <w:bookmarkEnd w:id="357"/>
    </w:p>
    <w:p w14:paraId="44364A7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除法律规定或专用合同条款另有约定外，合同价格不因物价波动进行调整。</w:t>
      </w:r>
    </w:p>
    <w:p w14:paraId="6A3353B6">
      <w:pPr>
        <w:pStyle w:val="4"/>
        <w:spacing w:before="156" w:beforeLines="50"/>
        <w:rPr>
          <w:rFonts w:hint="eastAsia" w:ascii="宋体" w:hAnsi="宋体" w:cs="宋体"/>
          <w:sz w:val="36"/>
          <w:szCs w:val="28"/>
          <w:highlight w:val="none"/>
        </w:rPr>
      </w:pPr>
      <w:bookmarkStart w:id="358" w:name="_Toc480909888"/>
      <w:bookmarkStart w:id="359" w:name="_Toc247514145"/>
      <w:bookmarkStart w:id="360" w:name="_Toc247527746"/>
      <w:r>
        <w:rPr>
          <w:rFonts w:hint="eastAsia" w:ascii="宋体" w:hAnsi="宋体" w:cs="宋体"/>
          <w:sz w:val="36"/>
          <w:szCs w:val="28"/>
          <w:highlight w:val="none"/>
        </w:rPr>
        <w:t>16.2 法律变化引起的调整</w:t>
      </w:r>
      <w:bookmarkEnd w:id="358"/>
      <w:bookmarkEnd w:id="359"/>
      <w:bookmarkEnd w:id="360"/>
    </w:p>
    <w:p w14:paraId="2E542E9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在基准日后，因法律变化导致承包人在合同履行中所需费用发生除第16.1 款约定以外的增减时，监理人应根据法律、国家或省、自治区、直辖市有关部门的规定，按第3.5 款商定或确定需调整的合同价格。</w:t>
      </w:r>
    </w:p>
    <w:p w14:paraId="55674CB0">
      <w:pPr>
        <w:pStyle w:val="3"/>
        <w:spacing w:before="156" w:beforeLines="50" w:after="0" w:line="360" w:lineRule="auto"/>
        <w:rPr>
          <w:rFonts w:hint="eastAsia" w:ascii="宋体" w:hAnsi="宋体" w:cs="宋体"/>
          <w:b w:val="0"/>
          <w:highlight w:val="none"/>
        </w:rPr>
      </w:pPr>
      <w:bookmarkStart w:id="361" w:name="_Toc247527747"/>
      <w:bookmarkStart w:id="362" w:name="_Toc247514146"/>
      <w:bookmarkStart w:id="363" w:name="_Toc480909889"/>
      <w:bookmarkStart w:id="364" w:name="_Toc184635114"/>
      <w:r>
        <w:rPr>
          <w:rFonts w:hint="eastAsia" w:ascii="宋体" w:hAnsi="宋体" w:cs="宋体"/>
          <w:b w:val="0"/>
          <w:highlight w:val="none"/>
        </w:rPr>
        <w:t>17. 合同价格与支付</w:t>
      </w:r>
      <w:bookmarkEnd w:id="361"/>
      <w:bookmarkEnd w:id="362"/>
      <w:bookmarkEnd w:id="363"/>
      <w:bookmarkEnd w:id="364"/>
    </w:p>
    <w:p w14:paraId="274CD8A1">
      <w:pPr>
        <w:pStyle w:val="4"/>
        <w:spacing w:before="156" w:beforeLines="50"/>
        <w:rPr>
          <w:rFonts w:hint="eastAsia" w:ascii="宋体" w:hAnsi="宋体" w:cs="宋体"/>
          <w:sz w:val="36"/>
          <w:szCs w:val="28"/>
          <w:highlight w:val="none"/>
        </w:rPr>
      </w:pPr>
      <w:bookmarkStart w:id="365" w:name="_Toc247527748"/>
      <w:bookmarkStart w:id="366" w:name="_Toc480909890"/>
      <w:bookmarkStart w:id="367" w:name="_Toc247514147"/>
      <w:r>
        <w:rPr>
          <w:rFonts w:hint="eastAsia" w:ascii="宋体" w:hAnsi="宋体" w:cs="宋体"/>
          <w:sz w:val="36"/>
          <w:szCs w:val="28"/>
          <w:highlight w:val="none"/>
        </w:rPr>
        <w:t>17.1 合同价格</w:t>
      </w:r>
      <w:bookmarkEnd w:id="365"/>
      <w:bookmarkEnd w:id="366"/>
      <w:bookmarkEnd w:id="367"/>
    </w:p>
    <w:p w14:paraId="7D1C9CA3">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除专用合同条款另有约定外，</w:t>
      </w:r>
    </w:p>
    <w:p w14:paraId="5F8218C8">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（1）合同价格包括签约合同价以及按照合同约定进行的调整；</w:t>
      </w:r>
    </w:p>
    <w:p w14:paraId="16FCBB2F">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（2）合同价格包括承包人依据法律规定或合同约定应支付的规费和税金；</w:t>
      </w:r>
    </w:p>
    <w:p w14:paraId="59A6EF09">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（3）价格清单列出的任何数量仅为估算的工作量，不得将其视为要求承包人实施的工程的实际或准确的工作量。在价格</w:t>
      </w:r>
      <w:r>
        <w:rPr>
          <w:rFonts w:hint="eastAsia" w:ascii="宋体" w:hAnsi="宋体" w:cs="宋体"/>
          <w:sz w:val="22"/>
          <w:highlight w:val="none"/>
        </w:rPr>
        <w:t>清单中列出的任何工作量和价格数据应仅限用于变更和支付的参考资料，而不能用于其他目的。</w:t>
      </w:r>
    </w:p>
    <w:p w14:paraId="0BDE4BA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合同约定工程的某部分按照实际完成的工程量进行支付的，应按照专用合同条款的约定进行计量和估价，并据此调整合同价格。</w:t>
      </w:r>
    </w:p>
    <w:p w14:paraId="72084C45">
      <w:pPr>
        <w:pStyle w:val="4"/>
        <w:spacing w:before="156" w:beforeLines="50"/>
        <w:rPr>
          <w:rFonts w:hint="eastAsia" w:ascii="宋体" w:hAnsi="宋体" w:cs="宋体"/>
          <w:sz w:val="36"/>
          <w:szCs w:val="28"/>
          <w:highlight w:val="none"/>
        </w:rPr>
      </w:pPr>
      <w:bookmarkStart w:id="368" w:name="_Toc247514148"/>
      <w:bookmarkStart w:id="369" w:name="_Toc480909891"/>
      <w:bookmarkStart w:id="370" w:name="_Toc247527749"/>
      <w:r>
        <w:rPr>
          <w:rFonts w:hint="eastAsia" w:ascii="宋体" w:hAnsi="宋体" w:cs="宋体"/>
          <w:sz w:val="36"/>
          <w:szCs w:val="28"/>
          <w:highlight w:val="none"/>
        </w:rPr>
        <w:t>17.2 预付款</w:t>
      </w:r>
      <w:bookmarkEnd w:id="368"/>
      <w:bookmarkEnd w:id="369"/>
      <w:bookmarkEnd w:id="370"/>
    </w:p>
    <w:p w14:paraId="78F3897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17.2.1</w:t>
      </w:r>
      <w:r>
        <w:rPr>
          <w:rFonts w:hint="eastAsia" w:ascii="宋体" w:hAnsi="宋体" w:cs="宋体"/>
          <w:sz w:val="22"/>
          <w:highlight w:val="none"/>
        </w:rPr>
        <w:t xml:space="preserve"> 预付款</w:t>
      </w:r>
    </w:p>
    <w:p w14:paraId="72610F1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预付款用于承包人为合同工程的设计和工程实施购置材料、工程设备、施工设备、修建临时设施以及组织施工队伍进场等。预付款的额度和支付在专用合同条款中约定。预付款必须专用于合同工作。</w:t>
      </w:r>
    </w:p>
    <w:p w14:paraId="11DB836F">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17.2.2</w:t>
      </w:r>
      <w:r>
        <w:rPr>
          <w:rFonts w:hint="eastAsia" w:ascii="宋体" w:hAnsi="宋体" w:cs="宋体"/>
          <w:sz w:val="22"/>
          <w:highlight w:val="none"/>
        </w:rPr>
        <w:t xml:space="preserve"> 预付款保函</w:t>
      </w:r>
    </w:p>
    <w:p w14:paraId="16FD9697">
      <w:pPr>
        <w:spacing w:line="360" w:lineRule="auto"/>
        <w:ind w:firstLine="440" w:firstLineChars="200"/>
        <w:rPr>
          <w:rFonts w:hint="eastAsia" w:ascii="宋体" w:hAnsi="宋体" w:cs="宋体"/>
          <w:sz w:val="22"/>
          <w:szCs w:val="24"/>
          <w:highlight w:val="none"/>
        </w:rPr>
      </w:pPr>
      <w:r>
        <w:rPr>
          <w:rFonts w:hint="eastAsia" w:ascii="宋体" w:hAnsi="宋体" w:cs="宋体"/>
          <w:sz w:val="22"/>
          <w:highlight w:val="none"/>
        </w:rPr>
        <w:t>除专用合同条款另有约定外，承包人应在收到预付款的同时向发包人提交预付款保函，预付款保函的担保</w:t>
      </w:r>
      <w:r>
        <w:rPr>
          <w:rFonts w:hint="eastAsia" w:ascii="宋体" w:hAnsi="宋体" w:cs="宋体"/>
          <w:sz w:val="22"/>
          <w:szCs w:val="24"/>
          <w:highlight w:val="none"/>
        </w:rPr>
        <w:t>金额应与预付款金额相同。保函的担保金额可根据预付款扣回的金额相应递减。</w:t>
      </w:r>
    </w:p>
    <w:p w14:paraId="4E834B4E">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17.2.3</w:t>
      </w:r>
      <w:r>
        <w:rPr>
          <w:rFonts w:hint="eastAsia" w:ascii="宋体" w:hAnsi="宋体" w:cs="宋体"/>
          <w:sz w:val="22"/>
          <w:highlight w:val="none"/>
        </w:rPr>
        <w:t xml:space="preserve"> 预付款的扣回与还清</w:t>
      </w:r>
    </w:p>
    <w:p w14:paraId="6706C91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5D2B75AA">
      <w:pPr>
        <w:pStyle w:val="4"/>
        <w:spacing w:before="156" w:beforeLines="50"/>
        <w:rPr>
          <w:rFonts w:hint="eastAsia" w:ascii="宋体" w:hAnsi="宋体" w:cs="宋体"/>
          <w:sz w:val="36"/>
          <w:szCs w:val="28"/>
          <w:highlight w:val="none"/>
        </w:rPr>
      </w:pPr>
      <w:bookmarkStart w:id="371" w:name="_Toc247514149"/>
      <w:bookmarkStart w:id="372" w:name="_Toc480909892"/>
      <w:bookmarkStart w:id="373" w:name="_Toc247527750"/>
      <w:r>
        <w:rPr>
          <w:rFonts w:hint="eastAsia" w:ascii="宋体" w:hAnsi="宋体" w:cs="宋体"/>
          <w:sz w:val="36"/>
          <w:szCs w:val="28"/>
          <w:highlight w:val="none"/>
        </w:rPr>
        <w:t>17.3 工程进度付款</w:t>
      </w:r>
      <w:bookmarkEnd w:id="371"/>
      <w:bookmarkEnd w:id="372"/>
      <w:bookmarkEnd w:id="373"/>
    </w:p>
    <w:p w14:paraId="41B5503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17.3.1 付款时间</w:t>
      </w:r>
    </w:p>
    <w:p w14:paraId="075D232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除专用合同条款另有约定外，工程进度付款按月支付。</w:t>
      </w:r>
    </w:p>
    <w:p w14:paraId="04C858E8">
      <w:pPr>
        <w:tabs>
          <w:tab w:val="left" w:pos="5670"/>
        </w:tabs>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17.3.2 支付分解表</w:t>
      </w:r>
    </w:p>
    <w:p w14:paraId="03638D99">
      <w:pPr>
        <w:tabs>
          <w:tab w:val="left" w:pos="5670"/>
        </w:tabs>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除专用合同条款另有约定外，承包人应根据价格清单的价格构成、费用性质、计划发生时间和相应工作量等因素，按照以下分类和分解原则，结合第4.12.1项约定的合同进度计划，汇总形成月度支付分解报告。</w:t>
      </w:r>
    </w:p>
    <w:p w14:paraId="2FF9BC3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 xml:space="preserve">（1）设计费。按照提供设计阶段性成果文件的时间、对应的工作量进行分解。 </w:t>
      </w:r>
    </w:p>
    <w:p w14:paraId="5FA32FC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（2）材料和工程设备费。分别按订立采购合同、进场验收合格、安装就位、工程竣工等阶段和专用条款约定的比例进行分解。</w:t>
      </w:r>
    </w:p>
    <w:p w14:paraId="1C49C58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（3）技术服务培训费。按照价格清单中的单价，结合第4.12.1项约定的合同进度计划对应的工作量进行分解。</w:t>
      </w:r>
    </w:p>
    <w:p w14:paraId="740D823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（4）其他工程价款。除第17.1款约定按已完成工程量计量支付的工程价款外，按照价格清单中的价格，结合第4.12.1项约定的合同进度计划拟完成的工程量或者比例进行分解。</w:t>
      </w:r>
    </w:p>
    <w:p w14:paraId="73BBB4C3">
      <w:pPr>
        <w:tabs>
          <w:tab w:val="left" w:pos="5670"/>
        </w:tabs>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当在收到经监理人批复的合同进度计划后7天内，将支付分解报告以及形成支付分解报告的支持性资料报监理人审批，监理人应当在收到承包人报送的支付分解报告后7天内给予批复或提出修改意见，经监理人批准的支付分解报告为有合同约束力的支付分解表。合同进度计划进行了修订的，应相应修改支付分解表，并按本目规定报监理人批复。</w:t>
      </w:r>
    </w:p>
    <w:p w14:paraId="205465B6">
      <w:pPr>
        <w:tabs>
          <w:tab w:val="left" w:pos="5670"/>
        </w:tabs>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17.3.3 进度付款申请单</w:t>
      </w:r>
    </w:p>
    <w:p w14:paraId="09B1D54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承包人应在每笔进度款支付前，按监理人批准的格式和专用合同条款约定的份数，向监理人提交进度付款申请单，并附相应的支持性证明文件。除合同另有约定外，进度付款申请单应包括下列内容：</w:t>
      </w:r>
    </w:p>
    <w:p w14:paraId="07283AD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（1）当期应支付金额总额，以及截至当期期末累计应支付金额总额、已支付的进度付款金额总额；</w:t>
      </w:r>
    </w:p>
    <w:p w14:paraId="10031F0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（2）当期根据支付分解表应支付金额，以及截至当期期末累计应支付金额；</w:t>
      </w:r>
    </w:p>
    <w:p w14:paraId="6F6BC51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（3）当期根据第17.1款约定计量的已实施工程应支付金额，以及截至当期期末累计应支付金额；</w:t>
      </w:r>
    </w:p>
    <w:p w14:paraId="6444B14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（4）当期根据第15条应增加和扣减的变更金额，以及截至当期期末累计变更金额；</w:t>
      </w:r>
    </w:p>
    <w:p w14:paraId="6DD0EDA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（5）当期根据第23 条应增加和扣减的索赔金额，以及截至当期期末累计索赔金额；</w:t>
      </w:r>
    </w:p>
    <w:p w14:paraId="6946D0E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（6）当期根据第17.2 款约定应支付的预付款和扣减的返还预付款金额，以及截至当期期末累计返还预付款金额；</w:t>
      </w:r>
    </w:p>
    <w:p w14:paraId="6178E70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（7）当期根据第17.4.1 项约定应扣减的质量保证金金额，以及截至当期期末累计扣减的质量保证金金额；</w:t>
      </w:r>
    </w:p>
    <w:p w14:paraId="2653DE0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（8）当期根据合同应增加和扣减的其他金额，以及截至当期期末累计增加和扣减的金额。</w:t>
      </w:r>
    </w:p>
    <w:p w14:paraId="417D933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17.3.4 进度付款证书和支付时间</w:t>
      </w:r>
    </w:p>
    <w:p w14:paraId="17F7148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监理人在收到承包人进度付款申请单以及相应的支持性证明文件后的14天内完成审核，提出发包人到期应支付给承包人的金额以及相应的支持性材料，经发包人审批同意后，由监理人向承包人出具经发包人签认的进度付款证书。监理人未能在前述时间完成审核的，视为监理人同意承包人进度付款申请。监理人有权核减承包人未能按照合同要求履行任何工作或义务的相应金额。</w:t>
      </w:r>
    </w:p>
    <w:p w14:paraId="7C72977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（2）发包人最迟应在监理人收到进度付款申请单后的28 天内，将进度应付款支付给承包人。发包人未能在前述时间内完成审批或不予答复的，视为发包人同意进度付款申请。发包人不按期支付的，按专用合同条款的约定支付逾期付款违约金。</w:t>
      </w:r>
    </w:p>
    <w:p w14:paraId="029B953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（3）监理人出具进度付款证书，不应视为监理人已同意、批准或接受了承包人完成的该部分工作。</w:t>
      </w:r>
    </w:p>
    <w:p w14:paraId="0002255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（4）进度付款涉及政府投资资金的，按照国库集中支付等国家相关规定和专用合同条款的约定执行。</w:t>
      </w:r>
    </w:p>
    <w:p w14:paraId="0E16506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17.3.5 工程进度付款的修正</w:t>
      </w:r>
    </w:p>
    <w:p w14:paraId="1771412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在对以往历次已签发的进度付款证书进行汇总和复核中发现错、漏或重复的，监理人有权予以修正，承包人也有权提出修正申请。经监理人、承包人复核同意的修正，应在本次进度付款中支付或扣除。</w:t>
      </w:r>
    </w:p>
    <w:p w14:paraId="2FB8774D">
      <w:pPr>
        <w:pStyle w:val="4"/>
        <w:spacing w:before="156" w:beforeLines="50"/>
        <w:rPr>
          <w:rFonts w:hint="eastAsia" w:ascii="宋体" w:hAnsi="宋体" w:cs="宋体"/>
          <w:sz w:val="36"/>
          <w:szCs w:val="28"/>
          <w:highlight w:val="none"/>
        </w:rPr>
      </w:pPr>
      <w:bookmarkStart w:id="374" w:name="_Toc247527751"/>
      <w:bookmarkStart w:id="375" w:name="_Toc480909893"/>
      <w:bookmarkStart w:id="376" w:name="_Toc247514150"/>
      <w:r>
        <w:rPr>
          <w:rFonts w:hint="eastAsia" w:ascii="宋体" w:hAnsi="宋体" w:cs="宋体"/>
          <w:sz w:val="36"/>
          <w:szCs w:val="28"/>
          <w:highlight w:val="none"/>
        </w:rPr>
        <w:t>17.4 质量保证金</w:t>
      </w:r>
      <w:bookmarkEnd w:id="374"/>
      <w:bookmarkEnd w:id="375"/>
      <w:bookmarkEnd w:id="376"/>
    </w:p>
    <w:p w14:paraId="56DDA2D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17.4.1</w:t>
      </w:r>
      <w:r>
        <w:rPr>
          <w:rFonts w:hint="eastAsia" w:ascii="宋体" w:hAnsi="宋体" w:cs="宋体"/>
          <w:sz w:val="22"/>
          <w:highlight w:val="none"/>
        </w:rPr>
        <w:t xml:space="preserve"> 监理人应从发包人的每笔进度付款中，按专用合同条款的约定扣留质量保证金，直至扣留的质量保证金总额达到专用合同条款约定的金额或比例为止。质量保证金的计算额度不包括预付款的支付、扣回以及价格调整的金额。</w:t>
      </w:r>
    </w:p>
    <w:p w14:paraId="216E79D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17.4.2</w:t>
      </w:r>
      <w:r>
        <w:rPr>
          <w:rFonts w:hint="eastAsia" w:ascii="宋体" w:hAnsi="宋体" w:cs="宋体"/>
          <w:sz w:val="22"/>
          <w:highlight w:val="none"/>
        </w:rPr>
        <w:t xml:space="preserve"> 在第</w:t>
      </w:r>
      <w:r>
        <w:rPr>
          <w:rFonts w:hint="eastAsia" w:ascii="宋体" w:hAnsi="宋体" w:cs="宋体"/>
          <w:sz w:val="22"/>
          <w:szCs w:val="24"/>
          <w:highlight w:val="none"/>
        </w:rPr>
        <w:t>1.1.4.5</w:t>
      </w:r>
      <w:r>
        <w:rPr>
          <w:rFonts w:hint="eastAsia" w:ascii="宋体" w:hAnsi="宋体" w:cs="宋体"/>
          <w:sz w:val="22"/>
          <w:highlight w:val="none"/>
        </w:rPr>
        <w:t xml:space="preserve"> 目约定的缺陷责任期满时，承包人向发包人申请到期应返还承包人剩余的质量保证金，发包人应在14天内会同承包人按照合同约定的内容核实承包人是否完成缺陷责任。如无异议，发包人应当在核实后将剩余质量保证金返还承包人。</w:t>
      </w:r>
    </w:p>
    <w:p w14:paraId="3EABA207">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17.4.3</w:t>
      </w:r>
      <w:r>
        <w:rPr>
          <w:rFonts w:hint="eastAsia" w:ascii="宋体" w:hAnsi="宋体" w:cs="宋体"/>
          <w:sz w:val="22"/>
          <w:highlight w:val="none"/>
        </w:rPr>
        <w:t xml:space="preserve"> 在第</w:t>
      </w:r>
      <w:r>
        <w:rPr>
          <w:rFonts w:hint="eastAsia" w:ascii="宋体" w:hAnsi="宋体" w:cs="宋体"/>
          <w:sz w:val="22"/>
          <w:szCs w:val="24"/>
          <w:highlight w:val="none"/>
        </w:rPr>
        <w:t>1.1.4.5</w:t>
      </w:r>
      <w:r>
        <w:rPr>
          <w:rFonts w:hint="eastAsia" w:ascii="宋体" w:hAnsi="宋体" w:cs="宋体"/>
          <w:sz w:val="22"/>
          <w:highlight w:val="none"/>
        </w:rPr>
        <w:t xml:space="preserve"> 目约定的缺陷责任期满时，承包人没有完成缺陷责任的，发包人有权扣留与未履行责任剩余工作所需金额相应的质量保证金余额，并有权根据第19.3 款约定要求延长缺陷责任期，直至完成剩余工作为止。</w:t>
      </w:r>
    </w:p>
    <w:p w14:paraId="2DEFD2E5">
      <w:pPr>
        <w:pStyle w:val="4"/>
        <w:spacing w:before="156" w:beforeLines="50"/>
        <w:rPr>
          <w:rFonts w:hint="eastAsia" w:ascii="宋体" w:hAnsi="宋体" w:cs="宋体"/>
          <w:sz w:val="36"/>
          <w:szCs w:val="28"/>
          <w:highlight w:val="none"/>
        </w:rPr>
      </w:pPr>
      <w:bookmarkStart w:id="377" w:name="_Toc480909894"/>
      <w:bookmarkStart w:id="378" w:name="_Toc247527752"/>
      <w:bookmarkStart w:id="379" w:name="_Toc247514151"/>
      <w:r>
        <w:rPr>
          <w:rFonts w:hint="eastAsia" w:ascii="宋体" w:hAnsi="宋体" w:cs="宋体"/>
          <w:sz w:val="36"/>
          <w:szCs w:val="28"/>
          <w:highlight w:val="none"/>
        </w:rPr>
        <w:t>17.5 竣工结算</w:t>
      </w:r>
      <w:bookmarkEnd w:id="377"/>
      <w:bookmarkEnd w:id="378"/>
      <w:bookmarkEnd w:id="379"/>
    </w:p>
    <w:p w14:paraId="04B7FE9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17.5.1</w:t>
      </w:r>
      <w:r>
        <w:rPr>
          <w:rFonts w:hint="eastAsia" w:ascii="宋体" w:hAnsi="宋体" w:cs="宋体"/>
          <w:sz w:val="22"/>
          <w:highlight w:val="none"/>
        </w:rPr>
        <w:t xml:space="preserve"> 竣工付款申请单</w:t>
      </w:r>
    </w:p>
    <w:p w14:paraId="14E7D099">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3B9DF9FD">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（2）监理人对竣工付款申请单有异议的，有权要求承包人进行修正和提供补充资料。经监理人和承包人协商后，由承包人向</w:t>
      </w:r>
      <w:r>
        <w:rPr>
          <w:rFonts w:hint="eastAsia" w:ascii="宋体" w:hAnsi="宋体" w:cs="宋体"/>
          <w:sz w:val="22"/>
          <w:highlight w:val="none"/>
        </w:rPr>
        <w:t>监理人提交修正后的竣工付款申请单。</w:t>
      </w:r>
    </w:p>
    <w:p w14:paraId="6D307DFF">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17.5.2</w:t>
      </w:r>
      <w:r>
        <w:rPr>
          <w:rFonts w:hint="eastAsia" w:ascii="宋体" w:hAnsi="宋体" w:cs="宋体"/>
          <w:sz w:val="22"/>
          <w:highlight w:val="none"/>
        </w:rPr>
        <w:t xml:space="preserve"> 竣工付款证书及支付时间</w:t>
      </w:r>
    </w:p>
    <w:p w14:paraId="69ADC8F5">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4E64D740">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（2）发包人应在监理人出具竣工付款证书后的14 天内，将应支付款支付给承包人。发包人不按期支付的，按第17.3.4（2）目的约定，将逾期付款违约金支付给承包人。</w:t>
      </w:r>
    </w:p>
    <w:p w14:paraId="17A3667F">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（3）承包人对发包人签认的竣工付款证书有异议的，发包人可出具竣工付款申请单中承包人已同意部分的临时付款证书。存在争议的部分，按第24条的约定执行。</w:t>
      </w:r>
    </w:p>
    <w:p w14:paraId="6E6E075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（4）竣工付</w:t>
      </w:r>
      <w:r>
        <w:rPr>
          <w:rFonts w:hint="eastAsia" w:ascii="宋体" w:hAnsi="宋体" w:cs="宋体"/>
          <w:sz w:val="22"/>
          <w:highlight w:val="none"/>
        </w:rPr>
        <w:t>款涉及政府投资资金的，按第</w:t>
      </w:r>
      <w:r>
        <w:rPr>
          <w:rFonts w:hint="eastAsia" w:ascii="宋体" w:hAnsi="宋体" w:cs="宋体"/>
          <w:sz w:val="22"/>
          <w:szCs w:val="24"/>
          <w:highlight w:val="none"/>
        </w:rPr>
        <w:t>17.3.4（4）</w:t>
      </w:r>
      <w:r>
        <w:rPr>
          <w:rFonts w:hint="eastAsia" w:ascii="宋体" w:hAnsi="宋体" w:cs="宋体"/>
          <w:sz w:val="22"/>
          <w:highlight w:val="none"/>
        </w:rPr>
        <w:t>目的约定执行。</w:t>
      </w:r>
    </w:p>
    <w:p w14:paraId="504B9BDB">
      <w:pPr>
        <w:pStyle w:val="4"/>
        <w:spacing w:before="156" w:beforeLines="50"/>
        <w:rPr>
          <w:rFonts w:hint="eastAsia" w:ascii="宋体" w:hAnsi="宋体" w:cs="宋体"/>
          <w:sz w:val="36"/>
          <w:szCs w:val="28"/>
          <w:highlight w:val="none"/>
        </w:rPr>
      </w:pPr>
      <w:bookmarkStart w:id="380" w:name="_Toc480909895"/>
      <w:bookmarkStart w:id="381" w:name="_Toc247527753"/>
      <w:bookmarkStart w:id="382" w:name="_Toc247514152"/>
      <w:r>
        <w:rPr>
          <w:rFonts w:hint="eastAsia" w:ascii="宋体" w:hAnsi="宋体" w:cs="宋体"/>
          <w:sz w:val="36"/>
          <w:szCs w:val="28"/>
          <w:highlight w:val="none"/>
        </w:rPr>
        <w:t>17.6 最终结清</w:t>
      </w:r>
      <w:bookmarkEnd w:id="380"/>
      <w:bookmarkEnd w:id="381"/>
      <w:bookmarkEnd w:id="382"/>
    </w:p>
    <w:p w14:paraId="120DD4F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17.6.1 最终结清申请单</w:t>
      </w:r>
    </w:p>
    <w:p w14:paraId="71036E8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（1）缺陷责任期终止证书签发后，承包人可按专用合同条款约定的份数和期限向监理人提交最终结清申请单，并提供相关证明材料。</w:t>
      </w:r>
    </w:p>
    <w:p w14:paraId="25A3F79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（2）发包人对最终结清申请单内容有异议的，有权要求承包人进行修正和提供补充资料，由承包人向监理人提交修正后的最终结清申请单。</w:t>
      </w:r>
    </w:p>
    <w:p w14:paraId="4B6A01F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17.6.2 最终结清证书和支付时间</w:t>
      </w:r>
    </w:p>
    <w:p w14:paraId="5131511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7CBB075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（2）发包人应在监理人出具最终结清证书后的14 天内，将应支付款支付给承包人。</w:t>
      </w:r>
    </w:p>
    <w:p w14:paraId="64A5986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发包人不按期支付的，按第17.3.4（2）目的约定，将逾期付款违约金支付给承包人。</w:t>
      </w:r>
    </w:p>
    <w:p w14:paraId="6345CE3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（3）承包人对发包人签认的最终结清证书有异议的，按第24条的约定执行。</w:t>
      </w:r>
    </w:p>
    <w:p w14:paraId="4ADDA5B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（4）最终结清付款涉及政府投资资金的，按第17.3.4（4）目的约定执行。</w:t>
      </w:r>
    </w:p>
    <w:p w14:paraId="66511C3A">
      <w:pPr>
        <w:pStyle w:val="3"/>
        <w:spacing w:before="156" w:beforeLines="50" w:after="0" w:line="360" w:lineRule="auto"/>
        <w:rPr>
          <w:rFonts w:hint="eastAsia" w:ascii="宋体" w:hAnsi="宋体" w:cs="宋体"/>
          <w:b w:val="0"/>
          <w:highlight w:val="none"/>
        </w:rPr>
      </w:pPr>
      <w:bookmarkStart w:id="383" w:name="_Toc247514153"/>
      <w:bookmarkStart w:id="384" w:name="_Toc247527754"/>
      <w:bookmarkStart w:id="385" w:name="_Toc184635115"/>
      <w:bookmarkStart w:id="386" w:name="_Toc480909896"/>
      <w:r>
        <w:rPr>
          <w:rFonts w:hint="eastAsia" w:ascii="宋体" w:hAnsi="宋体" w:cs="宋体"/>
          <w:b w:val="0"/>
          <w:highlight w:val="none"/>
        </w:rPr>
        <w:t>18. 竣工试验和竣工验收</w:t>
      </w:r>
      <w:bookmarkEnd w:id="383"/>
      <w:bookmarkEnd w:id="384"/>
      <w:bookmarkEnd w:id="385"/>
      <w:bookmarkEnd w:id="386"/>
    </w:p>
    <w:p w14:paraId="18FCCC5A">
      <w:pPr>
        <w:pStyle w:val="4"/>
        <w:spacing w:before="156" w:beforeLines="50"/>
        <w:rPr>
          <w:rFonts w:hint="eastAsia" w:ascii="宋体" w:hAnsi="宋体" w:cs="宋体"/>
          <w:sz w:val="36"/>
          <w:szCs w:val="28"/>
          <w:highlight w:val="none"/>
        </w:rPr>
      </w:pPr>
      <w:bookmarkStart w:id="387" w:name="_Toc480909897"/>
      <w:bookmarkStart w:id="388" w:name="_Toc247514154"/>
      <w:bookmarkStart w:id="389" w:name="_Toc247527755"/>
      <w:r>
        <w:rPr>
          <w:rFonts w:hint="eastAsia" w:ascii="宋体" w:hAnsi="宋体" w:cs="宋体"/>
          <w:sz w:val="36"/>
          <w:szCs w:val="28"/>
          <w:highlight w:val="none"/>
        </w:rPr>
        <w:t>18.1 竣工试验</w:t>
      </w:r>
      <w:bookmarkEnd w:id="387"/>
      <w:r>
        <w:rPr>
          <w:rFonts w:hint="eastAsia" w:ascii="宋体" w:hAnsi="宋体" w:cs="宋体"/>
          <w:sz w:val="36"/>
          <w:szCs w:val="28"/>
          <w:highlight w:val="none"/>
        </w:rPr>
        <w:t xml:space="preserve">   </w:t>
      </w:r>
    </w:p>
    <w:p w14:paraId="6E23660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18.1.1承包人按照第5.5款和第5.6款提交文件后，进行竣工试验。</w:t>
      </w:r>
    </w:p>
    <w:p w14:paraId="453D6F7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18.1.2承包人应提前21天将可以开始进行竣工试验的日期通知监理人，监理人应在该日期后14天内，确定竣工试验具体时间。除专用合同条款中另有约定外，竣工试验应按下述顺序进行：</w:t>
      </w:r>
    </w:p>
    <w:p w14:paraId="2DA5B82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（1）第一阶段，承包人进行适当的检查和功能性试验，保证每一项工程设备都满足合同要求，并能安全地进入下一阶段试验;</w:t>
      </w:r>
    </w:p>
    <w:p w14:paraId="6B946DF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（2）第二阶段，承包人进行试验，保证工程或区段工程满足合同要求，在所有可利用的操作条件下安全运行；</w:t>
      </w:r>
    </w:p>
    <w:p w14:paraId="5113444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（3）第三阶段，当工程能安全运行时，承包人应通知监理人，可以进行其他竣工试验，包括各种性能测试，以证明工程符合发包人要求中列明的性能保证指标。</w:t>
      </w:r>
    </w:p>
    <w:p w14:paraId="0AA0554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18.1.3 承包人应按合同约定进行工程及工程设备试运行。试运行所需人员、设备、材料、燃料、电力、消耗品、工具等必要的条件以及试运行费用等由专用合同条款规定。</w:t>
      </w:r>
    </w:p>
    <w:p w14:paraId="041FDB6F">
      <w:pPr>
        <w:spacing w:line="360" w:lineRule="auto"/>
        <w:ind w:firstLine="440" w:firstLineChars="200"/>
        <w:rPr>
          <w:rFonts w:hint="eastAsia" w:ascii="宋体" w:hAnsi="宋体" w:cs="宋体"/>
          <w:sz w:val="22"/>
          <w:szCs w:val="24"/>
          <w:highlight w:val="none"/>
        </w:rPr>
      </w:pPr>
      <w:r>
        <w:rPr>
          <w:rFonts w:hint="eastAsia" w:ascii="宋体" w:hAnsi="宋体" w:cs="宋体"/>
          <w:sz w:val="22"/>
          <w:highlight w:val="none"/>
        </w:rPr>
        <w:t>18.1.4 某项竣工试验未能通过的，承包人应按照监理人的指示限期改正，并承担合同约定的相应责任。</w:t>
      </w:r>
    </w:p>
    <w:bookmarkEnd w:id="388"/>
    <w:bookmarkEnd w:id="389"/>
    <w:p w14:paraId="0FEE9709">
      <w:pPr>
        <w:pStyle w:val="4"/>
        <w:spacing w:before="156" w:beforeLines="50"/>
        <w:rPr>
          <w:rFonts w:hint="eastAsia" w:ascii="宋体" w:hAnsi="宋体" w:cs="宋体"/>
          <w:sz w:val="36"/>
          <w:szCs w:val="28"/>
          <w:highlight w:val="none"/>
        </w:rPr>
      </w:pPr>
      <w:bookmarkStart w:id="390" w:name="_Toc480909898"/>
      <w:bookmarkStart w:id="391" w:name="_Toc247527760"/>
      <w:bookmarkStart w:id="392" w:name="_Toc247514159"/>
      <w:r>
        <w:rPr>
          <w:rFonts w:hint="eastAsia" w:ascii="宋体" w:hAnsi="宋体" w:cs="宋体"/>
          <w:sz w:val="36"/>
          <w:szCs w:val="28"/>
          <w:highlight w:val="none"/>
        </w:rPr>
        <w:t>18.2 竣工验收申请报告</w:t>
      </w:r>
      <w:bookmarkEnd w:id="390"/>
      <w:bookmarkEnd w:id="391"/>
      <w:bookmarkEnd w:id="392"/>
    </w:p>
    <w:p w14:paraId="73B958CC">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当工程具备以下条件时，承包人即可向监理人报送竣工验收申请报告：</w:t>
      </w:r>
    </w:p>
    <w:p w14:paraId="505F595B">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（1）除监理人同意列入缺陷责任期内完成的尾工（甩项）工程和缺陷修补工作外，合同范围内的全部区段工程以及有关工作，包括合同要求的试验和竣工试验均已完成，并符合合同要求；</w:t>
      </w:r>
    </w:p>
    <w:p w14:paraId="4552E9E4">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（2）已按合同约定的内容和份数备齐了符合要求的竣工文件；</w:t>
      </w:r>
    </w:p>
    <w:p w14:paraId="5BE99364">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（3）已按监理人的要求编制了在缺陷责任期内完成的尾工（甩项）工程和缺陷修补工作清单以及相应施工计划；</w:t>
      </w:r>
    </w:p>
    <w:p w14:paraId="23F25DC6">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（4）监理人要求在竣工验收前应完成的其他工作；</w:t>
      </w:r>
    </w:p>
    <w:p w14:paraId="05EEE7F2">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（5）监理人要求提交的竣工验收资料清单。</w:t>
      </w:r>
    </w:p>
    <w:p w14:paraId="21A951C1">
      <w:pPr>
        <w:pStyle w:val="4"/>
        <w:spacing w:before="156" w:beforeLines="50"/>
        <w:rPr>
          <w:rFonts w:hint="eastAsia" w:ascii="宋体" w:hAnsi="宋体" w:cs="宋体"/>
          <w:sz w:val="36"/>
          <w:szCs w:val="28"/>
          <w:highlight w:val="none"/>
        </w:rPr>
      </w:pPr>
      <w:bookmarkStart w:id="393" w:name="_Toc480909899"/>
      <w:bookmarkStart w:id="394" w:name="_Toc247527761"/>
      <w:bookmarkStart w:id="395" w:name="_Toc247514160"/>
      <w:r>
        <w:rPr>
          <w:rFonts w:hint="eastAsia" w:ascii="宋体" w:hAnsi="宋体" w:cs="宋体"/>
          <w:sz w:val="36"/>
          <w:szCs w:val="28"/>
          <w:highlight w:val="none"/>
        </w:rPr>
        <w:t>18.3 竣工验收</w:t>
      </w:r>
      <w:bookmarkEnd w:id="393"/>
      <w:bookmarkEnd w:id="394"/>
      <w:bookmarkEnd w:id="395"/>
    </w:p>
    <w:p w14:paraId="4BB24C6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监理人收到承包人按第18.2 款约定提交的竣工验收申请报告后，应审查申请报告的各项内容，并按以下不同情况进行处理。</w:t>
      </w:r>
    </w:p>
    <w:p w14:paraId="5CD4373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监理人收到竣工验收申请报告后28天内不予答复的，视为同意承包人的竣工验收申请，并应在收到该竣工验收申请报告后28天内提请发包人进行竣工验收。</w:t>
      </w:r>
    </w:p>
    <w:p w14:paraId="4992E6C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18.3.2 监理人同意承包人提交的竣工验收申请报告的，应在收到该竣工验收申请报告后的28天内提请发包人进行工程验收。</w:t>
      </w:r>
    </w:p>
    <w:p w14:paraId="162593D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18.3.3 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27F50D7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 项、第18.3.2 项和第18.3.3 项的约定进行。</w:t>
      </w:r>
    </w:p>
    <w:p w14:paraId="3302CC1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18.3.5 除专用合同条款另有约定外，经验收合格工程的实际竣工日期，以提交竣工验收申请报告的日期为准，并在工程接收证书中写明。</w:t>
      </w:r>
    </w:p>
    <w:p w14:paraId="6B6C9EA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18.3.6 发包人在收到承包人竣工验收申请报告56 天后未进行验收的，视为验收合格，实际竣工日期以提交竣工验收申请报告的日期为准，但发包人由于不可抗力不能进行验收的除外。</w:t>
      </w:r>
    </w:p>
    <w:p w14:paraId="5B2768A5">
      <w:pPr>
        <w:pStyle w:val="4"/>
        <w:spacing w:before="156" w:beforeLines="50"/>
        <w:rPr>
          <w:rFonts w:hint="eastAsia" w:ascii="宋体" w:hAnsi="宋体" w:cs="宋体"/>
          <w:sz w:val="36"/>
          <w:szCs w:val="28"/>
          <w:highlight w:val="none"/>
        </w:rPr>
      </w:pPr>
      <w:bookmarkStart w:id="396" w:name="_Toc480909900"/>
      <w:r>
        <w:rPr>
          <w:rFonts w:hint="eastAsia" w:ascii="宋体" w:hAnsi="宋体" w:cs="宋体"/>
          <w:sz w:val="36"/>
          <w:szCs w:val="28"/>
          <w:highlight w:val="none"/>
        </w:rPr>
        <w:t>18.4 国家验收</w:t>
      </w:r>
      <w:bookmarkEnd w:id="396"/>
    </w:p>
    <w:p w14:paraId="7A5B033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需要进行国家验收的，竣工验收是国家验收的一部分。竣工验收所采用的各项验收和评定标准应符合国家验收标准。发包人和承包人为竣工验收提供的各项竣工验收资料应符合国家验收的要求。</w:t>
      </w:r>
    </w:p>
    <w:p w14:paraId="6399764D">
      <w:pPr>
        <w:pStyle w:val="4"/>
        <w:spacing w:before="156" w:beforeLines="50"/>
        <w:rPr>
          <w:rFonts w:hint="eastAsia" w:ascii="宋体" w:hAnsi="宋体" w:cs="宋体"/>
          <w:sz w:val="36"/>
          <w:szCs w:val="28"/>
          <w:highlight w:val="none"/>
        </w:rPr>
      </w:pPr>
      <w:bookmarkStart w:id="397" w:name="_Toc247514161"/>
      <w:bookmarkStart w:id="398" w:name="_Toc247527762"/>
      <w:bookmarkStart w:id="399" w:name="_Toc480909901"/>
      <w:r>
        <w:rPr>
          <w:rFonts w:hint="eastAsia" w:ascii="宋体" w:hAnsi="宋体" w:cs="宋体"/>
          <w:sz w:val="36"/>
          <w:szCs w:val="28"/>
          <w:highlight w:val="none"/>
        </w:rPr>
        <w:t>18.5 区段工程验收</w:t>
      </w:r>
      <w:bookmarkEnd w:id="397"/>
      <w:bookmarkEnd w:id="398"/>
      <w:bookmarkEnd w:id="399"/>
    </w:p>
    <w:p w14:paraId="226963F5">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18.5.1 </w:t>
      </w:r>
      <w:r>
        <w:rPr>
          <w:rFonts w:hint="eastAsia" w:ascii="宋体" w:hAnsi="宋体" w:cs="宋体"/>
          <w:sz w:val="22"/>
          <w:highlight w:val="none"/>
        </w:rPr>
        <w:t>发包人根据合同进度计划安排，在全部工程竣工前需要使用已经竣工的区段工程时，或承包人提出经发包人同意时，可进行区段工程验收。验收的程序可参照第</w:t>
      </w:r>
      <w:r>
        <w:rPr>
          <w:rFonts w:hint="eastAsia" w:ascii="宋体" w:hAnsi="宋体" w:cs="宋体"/>
          <w:sz w:val="22"/>
          <w:szCs w:val="24"/>
          <w:highlight w:val="none"/>
        </w:rPr>
        <w:t>18.2</w:t>
      </w:r>
      <w:r>
        <w:rPr>
          <w:rFonts w:hint="eastAsia" w:ascii="宋体" w:hAnsi="宋体" w:cs="宋体"/>
          <w:sz w:val="22"/>
          <w:highlight w:val="none"/>
        </w:rPr>
        <w:t>款与第</w:t>
      </w:r>
      <w:r>
        <w:rPr>
          <w:rFonts w:hint="eastAsia" w:ascii="宋体" w:hAnsi="宋体" w:cs="宋体"/>
          <w:sz w:val="22"/>
          <w:szCs w:val="24"/>
          <w:highlight w:val="none"/>
        </w:rPr>
        <w:t xml:space="preserve">18.3 </w:t>
      </w:r>
      <w:r>
        <w:rPr>
          <w:rFonts w:hint="eastAsia" w:ascii="宋体" w:hAnsi="宋体" w:cs="宋体"/>
          <w:sz w:val="22"/>
          <w:highlight w:val="none"/>
        </w:rPr>
        <w:t>款的约定进行。验收合格后，由监理人向承包人出具经发包人签认的区段工程验收证书。已签发区段工程接收证书的区段工程由发包人负责照管。区段工程的验收成果和结论作为全部工程竣工验收申请报告的附件。</w:t>
      </w:r>
    </w:p>
    <w:p w14:paraId="5AA3420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18.5.2 </w:t>
      </w:r>
      <w:r>
        <w:rPr>
          <w:rFonts w:hint="eastAsia" w:ascii="宋体" w:hAnsi="宋体" w:cs="宋体"/>
          <w:sz w:val="22"/>
          <w:highlight w:val="none"/>
        </w:rPr>
        <w:t>发包人在全部工程竣工前，使用已接收的区段工程导致承包人费用增加的，发包人应承担由此增加的费用和（或）工期延误，并支付承包人合理利润。</w:t>
      </w:r>
    </w:p>
    <w:p w14:paraId="3A7F9FD1">
      <w:pPr>
        <w:pStyle w:val="4"/>
        <w:spacing w:before="156" w:beforeLines="50"/>
        <w:rPr>
          <w:rFonts w:hint="eastAsia" w:ascii="宋体" w:hAnsi="宋体" w:cs="宋体"/>
          <w:sz w:val="36"/>
          <w:szCs w:val="28"/>
          <w:highlight w:val="none"/>
        </w:rPr>
      </w:pPr>
      <w:bookmarkStart w:id="400" w:name="_Toc247514162"/>
      <w:bookmarkStart w:id="401" w:name="_Toc247527763"/>
      <w:bookmarkStart w:id="402" w:name="_Toc480909902"/>
      <w:r>
        <w:rPr>
          <w:rFonts w:hint="eastAsia" w:ascii="宋体" w:hAnsi="宋体" w:cs="宋体"/>
          <w:sz w:val="36"/>
          <w:szCs w:val="28"/>
          <w:highlight w:val="none"/>
        </w:rPr>
        <w:t>18.6 施工期运行</w:t>
      </w:r>
      <w:bookmarkEnd w:id="400"/>
      <w:bookmarkEnd w:id="401"/>
      <w:bookmarkEnd w:id="402"/>
    </w:p>
    <w:p w14:paraId="6649FBE0">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18.6.1</w:t>
      </w:r>
      <w:r>
        <w:rPr>
          <w:rFonts w:hint="eastAsia" w:ascii="宋体" w:hAnsi="宋体" w:cs="宋体"/>
          <w:sz w:val="22"/>
          <w:highlight w:val="none"/>
        </w:rPr>
        <w:t xml:space="preserve"> 施工期运行是指合同工程尚未全部竣工，其中某项或某几项区段工程或工程设备安装已竣工，根据专用合同条款约定，需要投入施工期运行的，经发</w:t>
      </w:r>
      <w:r>
        <w:rPr>
          <w:rFonts w:hint="eastAsia" w:ascii="宋体" w:hAnsi="宋体" w:cs="宋体"/>
          <w:sz w:val="22"/>
          <w:szCs w:val="24"/>
          <w:highlight w:val="none"/>
        </w:rPr>
        <w:t>包人按第18.5 款的约定验收合格，证明能确保安全后，才能在施工期投入运行。</w:t>
      </w:r>
    </w:p>
    <w:p w14:paraId="4CE13AC5">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18.6.2 </w:t>
      </w:r>
      <w:r>
        <w:rPr>
          <w:rFonts w:hint="eastAsia" w:ascii="宋体" w:hAnsi="宋体" w:cs="宋体"/>
          <w:sz w:val="22"/>
          <w:highlight w:val="none"/>
        </w:rPr>
        <w:t>在施工期运行中发现工程或工程设备损坏或存在缺陷</w:t>
      </w:r>
      <w:r>
        <w:rPr>
          <w:rFonts w:hint="eastAsia" w:ascii="宋体" w:hAnsi="宋体" w:cs="宋体"/>
          <w:sz w:val="22"/>
          <w:szCs w:val="24"/>
          <w:highlight w:val="none"/>
        </w:rPr>
        <w:t>的，由承包人按第19.2 款约定</w:t>
      </w:r>
      <w:r>
        <w:rPr>
          <w:rFonts w:hint="eastAsia" w:ascii="宋体" w:hAnsi="宋体" w:cs="宋体"/>
          <w:sz w:val="22"/>
          <w:highlight w:val="none"/>
        </w:rPr>
        <w:t>进行修复。</w:t>
      </w:r>
    </w:p>
    <w:p w14:paraId="5AC1C4FD">
      <w:pPr>
        <w:pStyle w:val="4"/>
        <w:spacing w:before="156" w:beforeLines="50"/>
        <w:rPr>
          <w:rFonts w:hint="eastAsia" w:ascii="宋体" w:hAnsi="宋体" w:cs="宋体"/>
          <w:sz w:val="36"/>
          <w:szCs w:val="28"/>
          <w:highlight w:val="none"/>
        </w:rPr>
      </w:pPr>
      <w:bookmarkStart w:id="403" w:name="_Toc247527764"/>
      <w:bookmarkStart w:id="404" w:name="_Toc247514163"/>
      <w:bookmarkStart w:id="405" w:name="_Toc480909903"/>
      <w:r>
        <w:rPr>
          <w:rFonts w:hint="eastAsia" w:ascii="宋体" w:hAnsi="宋体" w:cs="宋体"/>
          <w:sz w:val="36"/>
          <w:szCs w:val="28"/>
          <w:highlight w:val="none"/>
        </w:rPr>
        <w:t>18.7 竣工清场</w:t>
      </w:r>
      <w:bookmarkEnd w:id="403"/>
      <w:bookmarkEnd w:id="404"/>
      <w:bookmarkEnd w:id="405"/>
    </w:p>
    <w:p w14:paraId="69EBFFA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18.7.1</w:t>
      </w:r>
      <w:r>
        <w:rPr>
          <w:rFonts w:hint="eastAsia" w:ascii="宋体" w:hAnsi="宋体" w:cs="宋体"/>
          <w:sz w:val="22"/>
          <w:highlight w:val="none"/>
        </w:rPr>
        <w:t xml:space="preserve"> 除合同另有约定外，工程接收证书颁发后，承包人应按以下要求对施工场地进行清理，直至监理人检验合格为止。竣工清场费用由承包人承担。</w:t>
      </w:r>
    </w:p>
    <w:p w14:paraId="2C97141B">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（1）施工场地内残留的垃圾已全部清除出场；</w:t>
      </w:r>
    </w:p>
    <w:p w14:paraId="1E1D10F4">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（2）临时工程已拆除，场地已按合同要求进行清理、平整或复原；</w:t>
      </w:r>
    </w:p>
    <w:p w14:paraId="6EBDFA5F">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（3）按合同约定应撤离的承包人设备和剩余的材料，包括废弃的施工设备和材料，已按计划撤离施工场地；</w:t>
      </w:r>
    </w:p>
    <w:p w14:paraId="32884FA1">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（4）工程建筑物周边及其附近道路、河道的施工堆积物，已按监理人指示全部清理；</w:t>
      </w:r>
    </w:p>
    <w:p w14:paraId="00DC6DD6">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（5）监理人指示的其</w:t>
      </w:r>
      <w:r>
        <w:rPr>
          <w:rFonts w:hint="eastAsia" w:ascii="宋体" w:hAnsi="宋体" w:cs="宋体"/>
          <w:sz w:val="22"/>
          <w:highlight w:val="none"/>
        </w:rPr>
        <w:t>他场地清理工作已全部完成。</w:t>
      </w:r>
    </w:p>
    <w:p w14:paraId="313F92F4">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18.7.2</w:t>
      </w:r>
      <w:r>
        <w:rPr>
          <w:rFonts w:hint="eastAsia" w:ascii="宋体" w:hAnsi="宋体" w:cs="宋体"/>
          <w:sz w:val="22"/>
          <w:highlight w:val="none"/>
        </w:rPr>
        <w:t xml:space="preserve"> 承包人未按监理人的要求恢复临时占地，或者场地清理未达到合同约定的，发包人有权委托其他人恢复或清理，所发生的金额从拟支付给承包人的款项中扣除。</w:t>
      </w:r>
    </w:p>
    <w:p w14:paraId="4C4F2923">
      <w:pPr>
        <w:pStyle w:val="4"/>
        <w:spacing w:before="156" w:beforeLines="50"/>
        <w:rPr>
          <w:rFonts w:hint="eastAsia" w:ascii="宋体" w:hAnsi="宋体" w:cs="宋体"/>
          <w:sz w:val="36"/>
          <w:szCs w:val="28"/>
          <w:highlight w:val="none"/>
        </w:rPr>
      </w:pPr>
      <w:bookmarkStart w:id="406" w:name="_Toc247514164"/>
      <w:bookmarkStart w:id="407" w:name="_Toc247527765"/>
      <w:bookmarkStart w:id="408" w:name="_Toc480909904"/>
      <w:r>
        <w:rPr>
          <w:rFonts w:hint="eastAsia" w:ascii="宋体" w:hAnsi="宋体" w:cs="宋体"/>
          <w:sz w:val="36"/>
          <w:szCs w:val="28"/>
          <w:highlight w:val="none"/>
        </w:rPr>
        <w:t>18.8 施工队伍的撤离</w:t>
      </w:r>
      <w:bookmarkEnd w:id="406"/>
      <w:bookmarkEnd w:id="407"/>
      <w:bookmarkEnd w:id="408"/>
    </w:p>
    <w:p w14:paraId="2DD7A82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163F067A">
      <w:pPr>
        <w:pStyle w:val="4"/>
        <w:spacing w:before="156" w:beforeLines="50"/>
        <w:rPr>
          <w:rFonts w:hint="eastAsia" w:ascii="宋体" w:hAnsi="宋体" w:cs="宋体"/>
          <w:sz w:val="36"/>
          <w:szCs w:val="28"/>
          <w:highlight w:val="none"/>
        </w:rPr>
      </w:pPr>
      <w:bookmarkStart w:id="409" w:name="_Toc480909905"/>
      <w:r>
        <w:rPr>
          <w:rFonts w:hint="eastAsia" w:ascii="宋体" w:hAnsi="宋体" w:cs="宋体"/>
          <w:sz w:val="36"/>
          <w:szCs w:val="28"/>
          <w:highlight w:val="none"/>
        </w:rPr>
        <w:t>18.9 竣工后试验</w:t>
      </w:r>
      <w:bookmarkEnd w:id="409"/>
    </w:p>
    <w:p w14:paraId="42D5C0C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除专用合同条款另有约定外：</w:t>
      </w:r>
    </w:p>
    <w:p w14:paraId="54262394">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（1）发包人为竣工后试验提供必要的电力、材料、燃料、发包人人员和工程设备；</w:t>
      </w:r>
    </w:p>
    <w:p w14:paraId="548F5502">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（2）承包人应提供竣工后试验所需要的所有其他设备、仪器，以及有资格和经验的工作人员；</w:t>
      </w:r>
    </w:p>
    <w:p w14:paraId="32ED8B1B">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3）承包人应在发包人在场的情况下，进行竣工后试验。发包人应提前21天将竣工后试验的日期通知承包人。因承包人原因造成某项竣工后试验未能通过的，承包人应按照合同的约定进行赔偿，或者承包人提出修复建议，按照发包人指示的合理期限内改正，并承担合同约定的相应责任。</w:t>
      </w:r>
    </w:p>
    <w:p w14:paraId="5A37B53F">
      <w:pPr>
        <w:pStyle w:val="3"/>
        <w:spacing w:before="156" w:beforeLines="50" w:after="0" w:line="360" w:lineRule="auto"/>
        <w:rPr>
          <w:rFonts w:hint="eastAsia" w:ascii="宋体" w:hAnsi="宋体" w:cs="宋体"/>
          <w:b w:val="0"/>
          <w:highlight w:val="none"/>
        </w:rPr>
      </w:pPr>
      <w:bookmarkStart w:id="410" w:name="_Toc247514165"/>
      <w:bookmarkStart w:id="411" w:name="_Toc480909906"/>
      <w:bookmarkStart w:id="412" w:name="_Toc184635116"/>
      <w:bookmarkStart w:id="413" w:name="_Toc247527766"/>
      <w:r>
        <w:rPr>
          <w:rFonts w:hint="eastAsia" w:ascii="宋体" w:hAnsi="宋体" w:cs="宋体"/>
          <w:b w:val="0"/>
          <w:highlight w:val="none"/>
        </w:rPr>
        <w:t>19. 缺陷责任与保修责任</w:t>
      </w:r>
      <w:bookmarkEnd w:id="410"/>
      <w:bookmarkEnd w:id="411"/>
      <w:bookmarkEnd w:id="412"/>
      <w:bookmarkEnd w:id="413"/>
    </w:p>
    <w:p w14:paraId="29DC5230">
      <w:pPr>
        <w:pStyle w:val="4"/>
        <w:spacing w:before="156" w:beforeLines="50"/>
        <w:rPr>
          <w:rFonts w:hint="eastAsia" w:ascii="宋体" w:hAnsi="宋体" w:cs="宋体"/>
          <w:sz w:val="36"/>
          <w:szCs w:val="28"/>
          <w:highlight w:val="none"/>
        </w:rPr>
      </w:pPr>
      <w:bookmarkStart w:id="414" w:name="_Toc480909907"/>
      <w:bookmarkStart w:id="415" w:name="_Toc247527767"/>
      <w:bookmarkStart w:id="416" w:name="_Toc247514166"/>
      <w:r>
        <w:rPr>
          <w:rFonts w:hint="eastAsia" w:ascii="宋体" w:hAnsi="宋体" w:cs="宋体"/>
          <w:sz w:val="36"/>
          <w:szCs w:val="28"/>
          <w:highlight w:val="none"/>
        </w:rPr>
        <w:t>19.1 缺陷责任期的起算时间</w:t>
      </w:r>
      <w:bookmarkEnd w:id="414"/>
      <w:bookmarkEnd w:id="415"/>
      <w:bookmarkEnd w:id="416"/>
    </w:p>
    <w:p w14:paraId="5996D2C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缺陷责任期自实际竣工日期起计算。在全部工程竣工验收前，已经发包人提前验收的区段工程或进入施工期运行的工程，其缺陷责任期的起算日期相应提前到相应工程竣工日。</w:t>
      </w:r>
    </w:p>
    <w:p w14:paraId="7103C9DA">
      <w:pPr>
        <w:pStyle w:val="4"/>
        <w:spacing w:before="156" w:beforeLines="50"/>
        <w:rPr>
          <w:rFonts w:hint="eastAsia" w:ascii="宋体" w:hAnsi="宋体" w:cs="宋体"/>
          <w:sz w:val="36"/>
          <w:szCs w:val="28"/>
          <w:highlight w:val="none"/>
        </w:rPr>
      </w:pPr>
      <w:bookmarkStart w:id="417" w:name="_Toc247527768"/>
      <w:bookmarkStart w:id="418" w:name="_Toc247514167"/>
      <w:bookmarkStart w:id="419" w:name="_Toc480909908"/>
      <w:r>
        <w:rPr>
          <w:rFonts w:hint="eastAsia" w:ascii="宋体" w:hAnsi="宋体" w:cs="宋体"/>
          <w:sz w:val="36"/>
          <w:szCs w:val="28"/>
          <w:highlight w:val="none"/>
        </w:rPr>
        <w:t>19.2 缺陷责任</w:t>
      </w:r>
      <w:bookmarkEnd w:id="417"/>
      <w:bookmarkEnd w:id="418"/>
      <w:bookmarkEnd w:id="419"/>
    </w:p>
    <w:p w14:paraId="2A8AF7E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19.2.1</w:t>
      </w:r>
      <w:r>
        <w:rPr>
          <w:rFonts w:hint="eastAsia" w:ascii="宋体" w:hAnsi="宋体" w:cs="宋体"/>
          <w:sz w:val="22"/>
          <w:highlight w:val="none"/>
        </w:rPr>
        <w:t xml:space="preserve"> 承包人应在缺陷责任期内对已交付使用的工程承担缺陷责任。</w:t>
      </w:r>
    </w:p>
    <w:p w14:paraId="209405E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19.2.2</w:t>
      </w:r>
      <w:r>
        <w:rPr>
          <w:rFonts w:hint="eastAsia" w:ascii="宋体" w:hAnsi="宋体" w:cs="宋体"/>
          <w:sz w:val="22"/>
          <w:highlight w:val="none"/>
        </w:rPr>
        <w:t xml:space="preserve"> 缺陷责任期内，发包人对已接收使用的工程负责日常维护工作。发包人在使用过程中，发现已接收的工程存在新的缺陷或已修复的缺陷部位或部件又遭损坏的，承包人应负责修复，直至检验合格为止。</w:t>
      </w:r>
    </w:p>
    <w:p w14:paraId="47E1FDD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19.2.3 </w:t>
      </w:r>
      <w:r>
        <w:rPr>
          <w:rFonts w:hint="eastAsia" w:ascii="宋体" w:hAnsi="宋体" w:cs="宋体"/>
          <w:sz w:val="22"/>
          <w:highlight w:val="none"/>
        </w:rPr>
        <w:t>监理人和承包人应共同查清缺陷和（或）损坏的原因。经查明属承包人原因造成的，应由承包人承担修复和查验的费用。经查验属发包人原因造成的，发包人应承担修复和查验的费用，并支付承包人合理利润。</w:t>
      </w:r>
    </w:p>
    <w:p w14:paraId="2463B55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19.2.4</w:t>
      </w:r>
      <w:r>
        <w:rPr>
          <w:rFonts w:hint="eastAsia" w:ascii="宋体" w:hAnsi="宋体" w:cs="宋体"/>
          <w:sz w:val="22"/>
          <w:highlight w:val="none"/>
        </w:rPr>
        <w:t xml:space="preserve"> 承包人不能在合理时间内修复缺陷的，发包人可自行修复或委托其他人修复，所需费用和利润的承担，按第</w:t>
      </w:r>
      <w:r>
        <w:rPr>
          <w:rFonts w:hint="eastAsia" w:ascii="宋体" w:hAnsi="宋体" w:cs="宋体"/>
          <w:sz w:val="22"/>
          <w:szCs w:val="24"/>
          <w:highlight w:val="none"/>
        </w:rPr>
        <w:t xml:space="preserve">19.2.3 </w:t>
      </w:r>
      <w:r>
        <w:rPr>
          <w:rFonts w:hint="eastAsia" w:ascii="宋体" w:hAnsi="宋体" w:cs="宋体"/>
          <w:sz w:val="22"/>
          <w:highlight w:val="none"/>
        </w:rPr>
        <w:t>项约定执行。</w:t>
      </w:r>
    </w:p>
    <w:p w14:paraId="19325AA5">
      <w:pPr>
        <w:pStyle w:val="4"/>
        <w:spacing w:before="156" w:beforeLines="50"/>
        <w:rPr>
          <w:rFonts w:hint="eastAsia" w:ascii="宋体" w:hAnsi="宋体" w:cs="宋体"/>
          <w:sz w:val="36"/>
          <w:szCs w:val="28"/>
          <w:highlight w:val="none"/>
        </w:rPr>
      </w:pPr>
      <w:bookmarkStart w:id="420" w:name="_Toc247527769"/>
      <w:bookmarkStart w:id="421" w:name="_Toc247514168"/>
      <w:bookmarkStart w:id="422" w:name="_Toc480909909"/>
      <w:r>
        <w:rPr>
          <w:rFonts w:hint="eastAsia" w:ascii="宋体" w:hAnsi="宋体" w:cs="宋体"/>
          <w:sz w:val="36"/>
          <w:szCs w:val="28"/>
          <w:highlight w:val="none"/>
        </w:rPr>
        <w:t>19.3 缺陷责任期的延长</w:t>
      </w:r>
      <w:bookmarkEnd w:id="420"/>
      <w:bookmarkEnd w:id="421"/>
      <w:bookmarkEnd w:id="422"/>
    </w:p>
    <w:p w14:paraId="08C35A8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19B14678">
      <w:pPr>
        <w:pStyle w:val="4"/>
        <w:spacing w:before="156" w:beforeLines="50"/>
        <w:rPr>
          <w:rFonts w:hint="eastAsia" w:ascii="宋体" w:hAnsi="宋体" w:cs="宋体"/>
          <w:sz w:val="36"/>
          <w:szCs w:val="28"/>
          <w:highlight w:val="none"/>
        </w:rPr>
      </w:pPr>
      <w:bookmarkStart w:id="423" w:name="_Toc247514169"/>
      <w:bookmarkStart w:id="424" w:name="_Toc480909910"/>
      <w:bookmarkStart w:id="425" w:name="_Toc247527770"/>
      <w:r>
        <w:rPr>
          <w:rFonts w:hint="eastAsia" w:ascii="宋体" w:hAnsi="宋体" w:cs="宋体"/>
          <w:sz w:val="36"/>
          <w:szCs w:val="28"/>
          <w:highlight w:val="none"/>
        </w:rPr>
        <w:t>19.4 进一步试验和试运行</w:t>
      </w:r>
      <w:bookmarkEnd w:id="423"/>
      <w:bookmarkEnd w:id="424"/>
      <w:bookmarkEnd w:id="425"/>
    </w:p>
    <w:p w14:paraId="1761EEC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任何一项缺陷或损坏修复后，经检查证明其影响了工程或工程设备的使用性能，承包人应重新进行合同约定的试验和试运行，试验和试运行的全部费用应由责任方承担。</w:t>
      </w:r>
    </w:p>
    <w:p w14:paraId="4B91539F">
      <w:pPr>
        <w:pStyle w:val="4"/>
        <w:spacing w:before="156" w:beforeLines="50"/>
        <w:rPr>
          <w:rFonts w:hint="eastAsia" w:ascii="宋体" w:hAnsi="宋体" w:cs="宋体"/>
          <w:sz w:val="36"/>
          <w:szCs w:val="28"/>
          <w:highlight w:val="none"/>
        </w:rPr>
      </w:pPr>
      <w:bookmarkStart w:id="426" w:name="_Toc247514170"/>
      <w:bookmarkStart w:id="427" w:name="_Toc247527771"/>
      <w:bookmarkStart w:id="428" w:name="_Toc480909911"/>
      <w:r>
        <w:rPr>
          <w:rFonts w:hint="eastAsia" w:ascii="宋体" w:hAnsi="宋体" w:cs="宋体"/>
          <w:sz w:val="36"/>
          <w:szCs w:val="28"/>
          <w:highlight w:val="none"/>
        </w:rPr>
        <w:t>19.5 承包人的进入权</w:t>
      </w:r>
      <w:bookmarkEnd w:id="426"/>
      <w:bookmarkEnd w:id="427"/>
      <w:bookmarkEnd w:id="428"/>
    </w:p>
    <w:p w14:paraId="67EC485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缺陷责任期内承包人为缺陷修复工作需要，有权进入工程现场，但应遵守发包人的保安和保密规定。</w:t>
      </w:r>
    </w:p>
    <w:p w14:paraId="3FB368B2">
      <w:pPr>
        <w:pStyle w:val="4"/>
        <w:spacing w:before="156" w:beforeLines="50"/>
        <w:rPr>
          <w:rFonts w:hint="eastAsia" w:ascii="宋体" w:hAnsi="宋体" w:cs="宋体"/>
          <w:sz w:val="36"/>
          <w:szCs w:val="28"/>
          <w:highlight w:val="none"/>
        </w:rPr>
      </w:pPr>
      <w:bookmarkStart w:id="429" w:name="_Toc247514171"/>
      <w:bookmarkStart w:id="430" w:name="_Toc247527772"/>
      <w:bookmarkStart w:id="431" w:name="_Toc480909912"/>
      <w:r>
        <w:rPr>
          <w:rFonts w:hint="eastAsia" w:ascii="宋体" w:hAnsi="宋体" w:cs="宋体"/>
          <w:sz w:val="36"/>
          <w:szCs w:val="28"/>
          <w:highlight w:val="none"/>
        </w:rPr>
        <w:t>19.6 缺陷责任期终止证书</w:t>
      </w:r>
      <w:bookmarkEnd w:id="429"/>
      <w:bookmarkEnd w:id="430"/>
      <w:bookmarkEnd w:id="431"/>
    </w:p>
    <w:p w14:paraId="64A11A7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在第</w:t>
      </w:r>
      <w:r>
        <w:rPr>
          <w:rFonts w:hint="eastAsia" w:ascii="宋体" w:hAnsi="宋体" w:cs="宋体"/>
          <w:sz w:val="22"/>
          <w:szCs w:val="24"/>
          <w:highlight w:val="none"/>
        </w:rPr>
        <w:t>1.1.4.5</w:t>
      </w:r>
      <w:r>
        <w:rPr>
          <w:rFonts w:hint="eastAsia" w:ascii="宋体" w:hAnsi="宋体" w:cs="宋体"/>
          <w:sz w:val="22"/>
          <w:highlight w:val="none"/>
        </w:rPr>
        <w:t>目约定的缺陷责任期，包括根据</w:t>
      </w:r>
      <w:r>
        <w:rPr>
          <w:rFonts w:hint="eastAsia" w:ascii="宋体" w:hAnsi="宋体" w:cs="宋体"/>
          <w:sz w:val="22"/>
          <w:szCs w:val="24"/>
          <w:highlight w:val="none"/>
        </w:rPr>
        <w:t>第19.3款延长的期限终止后14天内，由</w:t>
      </w:r>
      <w:r>
        <w:rPr>
          <w:rFonts w:hint="eastAsia" w:ascii="宋体" w:hAnsi="宋体" w:cs="宋体"/>
          <w:sz w:val="22"/>
          <w:highlight w:val="none"/>
        </w:rPr>
        <w:t>监理人向承包人出具经发包人签认的缺陷责任期终止证书，并退还剩余的质量保证金。</w:t>
      </w:r>
    </w:p>
    <w:p w14:paraId="7EA7CEFF">
      <w:pPr>
        <w:pStyle w:val="4"/>
        <w:spacing w:before="156" w:beforeLines="50"/>
        <w:rPr>
          <w:rFonts w:hint="eastAsia" w:ascii="宋体" w:hAnsi="宋体" w:cs="宋体"/>
          <w:sz w:val="36"/>
          <w:szCs w:val="28"/>
          <w:highlight w:val="none"/>
        </w:rPr>
      </w:pPr>
      <w:bookmarkStart w:id="432" w:name="_Toc247527773"/>
      <w:bookmarkStart w:id="433" w:name="_Toc247514172"/>
      <w:bookmarkStart w:id="434" w:name="_Toc480909913"/>
      <w:r>
        <w:rPr>
          <w:rFonts w:hint="eastAsia" w:ascii="宋体" w:hAnsi="宋体" w:cs="宋体"/>
          <w:sz w:val="36"/>
          <w:szCs w:val="28"/>
          <w:highlight w:val="none"/>
        </w:rPr>
        <w:t>19.7 保修责任</w:t>
      </w:r>
      <w:bookmarkEnd w:id="432"/>
      <w:bookmarkEnd w:id="433"/>
      <w:bookmarkEnd w:id="434"/>
    </w:p>
    <w:p w14:paraId="256012A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合同当事人根据有关法律规定，在专用合同条款中约定工程质量保修范围、期限和责任。保修期自实际竣工日期起计算。在全部工程竣工验收前，已经发包人提前验收的区段工程，其保修期的起算日期相应提前。</w:t>
      </w:r>
    </w:p>
    <w:p w14:paraId="00327705">
      <w:pPr>
        <w:pStyle w:val="3"/>
        <w:spacing w:before="156" w:beforeLines="50" w:after="0" w:line="360" w:lineRule="auto"/>
        <w:rPr>
          <w:rFonts w:hint="eastAsia" w:ascii="宋体" w:hAnsi="宋体" w:cs="宋体"/>
          <w:b w:val="0"/>
          <w:highlight w:val="none"/>
        </w:rPr>
      </w:pPr>
      <w:bookmarkStart w:id="435" w:name="_Toc247514173"/>
      <w:bookmarkStart w:id="436" w:name="_Toc480909914"/>
      <w:bookmarkStart w:id="437" w:name="_Toc247527774"/>
      <w:bookmarkStart w:id="438" w:name="_Toc184635117"/>
      <w:r>
        <w:rPr>
          <w:rFonts w:hint="eastAsia" w:ascii="宋体" w:hAnsi="宋体" w:cs="宋体"/>
          <w:b w:val="0"/>
          <w:highlight w:val="none"/>
        </w:rPr>
        <w:t>20. 保险</w:t>
      </w:r>
      <w:bookmarkEnd w:id="435"/>
      <w:bookmarkEnd w:id="436"/>
      <w:bookmarkEnd w:id="437"/>
      <w:bookmarkEnd w:id="438"/>
    </w:p>
    <w:p w14:paraId="78F95FB1">
      <w:pPr>
        <w:pStyle w:val="4"/>
        <w:spacing w:before="156" w:beforeLines="50"/>
        <w:rPr>
          <w:rFonts w:hint="eastAsia" w:ascii="宋体" w:hAnsi="宋体" w:cs="宋体"/>
          <w:sz w:val="36"/>
          <w:szCs w:val="28"/>
          <w:highlight w:val="none"/>
        </w:rPr>
      </w:pPr>
      <w:bookmarkStart w:id="439" w:name="_Toc480909915"/>
      <w:bookmarkStart w:id="440" w:name="_Toc247514174"/>
      <w:bookmarkStart w:id="441" w:name="_Toc247527775"/>
      <w:r>
        <w:rPr>
          <w:rFonts w:hint="eastAsia" w:ascii="宋体" w:hAnsi="宋体" w:cs="宋体"/>
          <w:sz w:val="36"/>
          <w:szCs w:val="28"/>
          <w:highlight w:val="none"/>
        </w:rPr>
        <w:t>20.1 设计和工程保险</w:t>
      </w:r>
      <w:bookmarkEnd w:id="439"/>
      <w:bookmarkEnd w:id="440"/>
      <w:bookmarkEnd w:id="441"/>
    </w:p>
    <w:p w14:paraId="3C8EFE6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20.1.1 承包人按照专用合同条款的约定向双方同意的保险人投保建设工程设计责任险、建筑工程一切险或安装工程一切险等保险。具体的投保险种、保险范围、保险金额、保险费率、保险期限等有关内容应当在专用合同条款中明确约定。</w:t>
      </w:r>
    </w:p>
    <w:p w14:paraId="225AECAD">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20.1.2 </w:t>
      </w:r>
      <w:r>
        <w:rPr>
          <w:rFonts w:hint="eastAsia" w:ascii="宋体" w:hAnsi="宋体" w:cs="宋体"/>
          <w:sz w:val="22"/>
          <w:highlight w:val="none"/>
        </w:rPr>
        <w:t>在缺陷责任期终止证书颁发前，承包人应按照专用合同条款的约定投保第三者责任险。</w:t>
      </w:r>
    </w:p>
    <w:p w14:paraId="6315FBF3">
      <w:pPr>
        <w:pStyle w:val="4"/>
        <w:spacing w:before="156" w:beforeLines="50"/>
        <w:rPr>
          <w:rFonts w:hint="eastAsia" w:ascii="宋体" w:hAnsi="宋体" w:cs="宋体"/>
          <w:sz w:val="36"/>
          <w:szCs w:val="28"/>
          <w:highlight w:val="none"/>
        </w:rPr>
      </w:pPr>
      <w:bookmarkStart w:id="442" w:name="_Toc247514175"/>
      <w:bookmarkStart w:id="443" w:name="_Toc480909916"/>
      <w:bookmarkStart w:id="444" w:name="_Toc247527776"/>
      <w:r>
        <w:rPr>
          <w:rFonts w:hint="eastAsia" w:ascii="宋体" w:hAnsi="宋体" w:cs="宋体"/>
          <w:sz w:val="36"/>
          <w:szCs w:val="28"/>
          <w:highlight w:val="none"/>
        </w:rPr>
        <w:t>20.2 工伤保险</w:t>
      </w:r>
      <w:bookmarkEnd w:id="442"/>
      <w:bookmarkEnd w:id="443"/>
      <w:bookmarkEnd w:id="444"/>
    </w:p>
    <w:p w14:paraId="4E006F9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20.2.1</w:t>
      </w:r>
      <w:r>
        <w:rPr>
          <w:rFonts w:hint="eastAsia" w:ascii="宋体" w:hAnsi="宋体" w:cs="宋体"/>
          <w:sz w:val="22"/>
          <w:highlight w:val="none"/>
        </w:rPr>
        <w:t xml:space="preserve"> 承包人员工伤保险</w:t>
      </w:r>
    </w:p>
    <w:p w14:paraId="0C48893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承包人应依照有关法律规定，为其履行合同所雇佣的全部人员投保工伤保险，缴纳工伤保险费，并要求其分包人也投保此项保险。</w:t>
      </w:r>
    </w:p>
    <w:p w14:paraId="3088C987">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20.2.2</w:t>
      </w:r>
      <w:r>
        <w:rPr>
          <w:rFonts w:hint="eastAsia" w:ascii="宋体" w:hAnsi="宋体" w:cs="宋体"/>
          <w:sz w:val="22"/>
          <w:highlight w:val="none"/>
        </w:rPr>
        <w:t xml:space="preserve"> 发包人员工伤保险</w:t>
      </w:r>
    </w:p>
    <w:p w14:paraId="49D82BE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发包人应依照有关法律规定，为其现场机构雇佣的全部人员投保工伤保险，缴纳工伤保险费，并要求其监理人也进行此项保险。</w:t>
      </w:r>
    </w:p>
    <w:p w14:paraId="4DC814D1">
      <w:pPr>
        <w:pStyle w:val="4"/>
        <w:spacing w:before="156" w:beforeLines="50"/>
        <w:rPr>
          <w:rFonts w:hint="eastAsia" w:ascii="宋体" w:hAnsi="宋体" w:cs="宋体"/>
          <w:sz w:val="36"/>
          <w:szCs w:val="28"/>
          <w:highlight w:val="none"/>
        </w:rPr>
      </w:pPr>
      <w:bookmarkStart w:id="445" w:name="_Toc480909917"/>
      <w:bookmarkStart w:id="446" w:name="_Toc247514176"/>
      <w:bookmarkStart w:id="447" w:name="_Toc247527777"/>
      <w:r>
        <w:rPr>
          <w:rFonts w:hint="eastAsia" w:ascii="宋体" w:hAnsi="宋体" w:cs="宋体"/>
          <w:sz w:val="36"/>
          <w:szCs w:val="28"/>
          <w:highlight w:val="none"/>
        </w:rPr>
        <w:t>20.3 人身意外伤害险</w:t>
      </w:r>
      <w:bookmarkEnd w:id="445"/>
      <w:bookmarkEnd w:id="446"/>
      <w:bookmarkEnd w:id="447"/>
    </w:p>
    <w:p w14:paraId="4258E61E">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20.3.1</w:t>
      </w:r>
      <w:r>
        <w:rPr>
          <w:rFonts w:hint="eastAsia" w:ascii="宋体" w:hAnsi="宋体" w:cs="宋体"/>
          <w:sz w:val="22"/>
          <w:highlight w:val="none"/>
        </w:rPr>
        <w:t xml:space="preserve"> 发包人应在整个施工期间为其现场机构雇用的全部人员，投保人身意外伤害险，缴纳保险费，并要求其监理人也进行此项保险。</w:t>
      </w:r>
    </w:p>
    <w:p w14:paraId="59B956FC">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20.3.2</w:t>
      </w:r>
      <w:r>
        <w:rPr>
          <w:rFonts w:hint="eastAsia" w:ascii="宋体" w:hAnsi="宋体" w:cs="宋体"/>
          <w:sz w:val="22"/>
          <w:highlight w:val="none"/>
        </w:rPr>
        <w:t xml:space="preserve"> 承包人应在整个施工期间为其现场机构雇用的全部人员，投保人身意外伤害险，缴纳保险费，并要求其分包人也进行此项保险。</w:t>
      </w:r>
      <w:bookmarkStart w:id="448" w:name="_Toc247514177"/>
      <w:bookmarkStart w:id="449" w:name="_Toc247527778"/>
      <w:r>
        <w:rPr>
          <w:rFonts w:hint="eastAsia" w:ascii="宋体" w:hAnsi="宋体" w:cs="宋体"/>
          <w:sz w:val="22"/>
          <w:szCs w:val="24"/>
          <w:highlight w:val="none"/>
        </w:rPr>
        <w:t xml:space="preserve"> </w:t>
      </w:r>
      <w:bookmarkEnd w:id="448"/>
      <w:bookmarkEnd w:id="449"/>
    </w:p>
    <w:p w14:paraId="66801728">
      <w:pPr>
        <w:pStyle w:val="4"/>
        <w:spacing w:before="156" w:beforeLines="50"/>
        <w:rPr>
          <w:rFonts w:hint="eastAsia" w:ascii="宋体" w:hAnsi="宋体" w:cs="宋体"/>
          <w:sz w:val="36"/>
          <w:szCs w:val="28"/>
          <w:highlight w:val="none"/>
        </w:rPr>
      </w:pPr>
      <w:bookmarkStart w:id="450" w:name="_Toc480909918"/>
      <w:bookmarkStart w:id="451" w:name="_Toc247514178"/>
      <w:bookmarkStart w:id="452" w:name="_Toc247527779"/>
      <w:r>
        <w:rPr>
          <w:rFonts w:hint="eastAsia" w:ascii="宋体" w:hAnsi="宋体" w:cs="宋体"/>
          <w:sz w:val="36"/>
          <w:szCs w:val="28"/>
          <w:highlight w:val="none"/>
        </w:rPr>
        <w:t>20.4 其他保险</w:t>
      </w:r>
      <w:bookmarkEnd w:id="450"/>
      <w:bookmarkEnd w:id="451"/>
      <w:bookmarkEnd w:id="452"/>
    </w:p>
    <w:p w14:paraId="5C4EC29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除专用合同条款另有约定外，承包人应为其施工设备、进场的材料和工程设备等办理保险。</w:t>
      </w:r>
    </w:p>
    <w:p w14:paraId="73D1EA1A">
      <w:pPr>
        <w:pStyle w:val="4"/>
        <w:spacing w:before="156" w:beforeLines="50"/>
        <w:rPr>
          <w:rFonts w:hint="eastAsia" w:ascii="宋体" w:hAnsi="宋体" w:cs="宋体"/>
          <w:sz w:val="36"/>
          <w:szCs w:val="28"/>
          <w:highlight w:val="none"/>
        </w:rPr>
      </w:pPr>
      <w:bookmarkStart w:id="453" w:name="_Toc247527780"/>
      <w:bookmarkStart w:id="454" w:name="_Toc480909919"/>
      <w:bookmarkStart w:id="455" w:name="_Toc247514179"/>
      <w:r>
        <w:rPr>
          <w:rFonts w:hint="eastAsia" w:ascii="宋体" w:hAnsi="宋体" w:cs="宋体"/>
          <w:sz w:val="36"/>
          <w:szCs w:val="28"/>
          <w:highlight w:val="none"/>
        </w:rPr>
        <w:t>20.5 对各项保险的一般要求</w:t>
      </w:r>
      <w:bookmarkEnd w:id="453"/>
      <w:bookmarkEnd w:id="454"/>
      <w:bookmarkEnd w:id="455"/>
    </w:p>
    <w:p w14:paraId="679AC4AC">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20.5.1</w:t>
      </w:r>
      <w:r>
        <w:rPr>
          <w:rFonts w:hint="eastAsia" w:ascii="宋体" w:hAnsi="宋体" w:cs="宋体"/>
          <w:sz w:val="22"/>
          <w:highlight w:val="none"/>
        </w:rPr>
        <w:t xml:space="preserve"> 保险凭证</w:t>
      </w:r>
    </w:p>
    <w:p w14:paraId="7E8FB09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承包人应在专用合同条款约定的期限内向发包人提交各项保险生效的证据和保险单副本，保险单必须与专用合同条款约定的条件保持一致。</w:t>
      </w:r>
    </w:p>
    <w:p w14:paraId="604CEAFD">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20.5.2</w:t>
      </w:r>
      <w:r>
        <w:rPr>
          <w:rFonts w:hint="eastAsia" w:ascii="宋体" w:hAnsi="宋体" w:cs="宋体"/>
          <w:sz w:val="22"/>
          <w:highlight w:val="none"/>
        </w:rPr>
        <w:t xml:space="preserve"> 保险合同条款的变动</w:t>
      </w:r>
    </w:p>
    <w:p w14:paraId="3FB4B02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承包人需要变动保险合同条款时，应事先征得发包人同意，并通知监理人。保险人作出变动的，承包人应在收到保险人通知后立即通知发包人和监理人。</w:t>
      </w:r>
    </w:p>
    <w:p w14:paraId="55AFD4D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20.5.3</w:t>
      </w:r>
      <w:r>
        <w:rPr>
          <w:rFonts w:hint="eastAsia" w:ascii="宋体" w:hAnsi="宋体" w:cs="宋体"/>
          <w:sz w:val="22"/>
          <w:highlight w:val="none"/>
        </w:rPr>
        <w:t xml:space="preserve"> 持续保险</w:t>
      </w:r>
    </w:p>
    <w:p w14:paraId="6C971C5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承包人应与保险人保持联系，使保险人能够随时了解工程实施中的变动，并确保按保险合同条款要求持续保险。</w:t>
      </w:r>
    </w:p>
    <w:p w14:paraId="47640CFC">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20.5.4</w:t>
      </w:r>
      <w:r>
        <w:rPr>
          <w:rFonts w:hint="eastAsia" w:ascii="宋体" w:hAnsi="宋体" w:cs="宋体"/>
          <w:sz w:val="22"/>
          <w:highlight w:val="none"/>
        </w:rPr>
        <w:t xml:space="preserve"> 保险金不足的补偿</w:t>
      </w:r>
    </w:p>
    <w:p w14:paraId="5A57C51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保险金不足以补偿损失的，应由承包人和（或）发包人按合同约定负责补偿。</w:t>
      </w:r>
    </w:p>
    <w:p w14:paraId="5E88480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20.5.5</w:t>
      </w:r>
      <w:r>
        <w:rPr>
          <w:rFonts w:hint="eastAsia" w:ascii="宋体" w:hAnsi="宋体" w:cs="宋体"/>
          <w:sz w:val="22"/>
          <w:highlight w:val="none"/>
        </w:rPr>
        <w:t xml:space="preserve"> 未按约定投保的补救</w:t>
      </w:r>
    </w:p>
    <w:p w14:paraId="1CBCB396">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w:t>
      </w:r>
      <w:r>
        <w:rPr>
          <w:rFonts w:hint="eastAsia" w:ascii="宋体" w:hAnsi="宋体" w:cs="宋体"/>
          <w:sz w:val="22"/>
          <w:highlight w:val="none"/>
        </w:rPr>
        <w:t>由于负有投保义务的一方当事人未按合同约定办理保险，或未能使保险持续有效的，另一方当事人可代为办理，所需费用由对方当事人承担。</w:t>
      </w:r>
    </w:p>
    <w:p w14:paraId="153E2136">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w:t>
      </w:r>
      <w:r>
        <w:rPr>
          <w:rFonts w:hint="eastAsia" w:ascii="宋体" w:hAnsi="宋体" w:cs="宋体"/>
          <w:sz w:val="22"/>
          <w:highlight w:val="none"/>
        </w:rPr>
        <w:t>由于负有投保义务的一方当事人未按合同约定办理某项保险，导致受益人未能得到保险人的赔偿，原应从该项保险得到的保险金应由负有投保义务的一方当事人支付。</w:t>
      </w:r>
    </w:p>
    <w:p w14:paraId="7A46C150">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20.5.6</w:t>
      </w:r>
      <w:r>
        <w:rPr>
          <w:rFonts w:hint="eastAsia" w:ascii="宋体" w:hAnsi="宋体" w:cs="宋体"/>
          <w:sz w:val="22"/>
          <w:highlight w:val="none"/>
        </w:rPr>
        <w:t xml:space="preserve"> 报告义务</w:t>
      </w:r>
    </w:p>
    <w:p w14:paraId="10D593A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当保险事故发生时，投保人应按照保险单规定的条件和期限及时向保险人报告。</w:t>
      </w:r>
    </w:p>
    <w:p w14:paraId="0EE78DD6">
      <w:pPr>
        <w:pStyle w:val="3"/>
        <w:spacing w:before="156" w:beforeLines="50" w:after="0" w:line="360" w:lineRule="auto"/>
        <w:rPr>
          <w:rFonts w:hint="eastAsia" w:ascii="宋体" w:hAnsi="宋体" w:cs="宋体"/>
          <w:b w:val="0"/>
          <w:highlight w:val="none"/>
        </w:rPr>
      </w:pPr>
      <w:bookmarkStart w:id="456" w:name="_Toc480909920"/>
      <w:bookmarkStart w:id="457" w:name="_Toc247514180"/>
      <w:bookmarkStart w:id="458" w:name="_Toc247527781"/>
      <w:bookmarkStart w:id="459" w:name="_Toc184635118"/>
      <w:r>
        <w:rPr>
          <w:rFonts w:hint="eastAsia" w:ascii="宋体" w:hAnsi="宋体" w:cs="宋体"/>
          <w:b w:val="0"/>
          <w:highlight w:val="none"/>
        </w:rPr>
        <w:t>21. 不可抗力</w:t>
      </w:r>
      <w:bookmarkEnd w:id="456"/>
      <w:bookmarkEnd w:id="457"/>
      <w:bookmarkEnd w:id="458"/>
      <w:bookmarkEnd w:id="459"/>
    </w:p>
    <w:p w14:paraId="44C47FC8">
      <w:pPr>
        <w:pStyle w:val="4"/>
        <w:spacing w:before="156" w:beforeLines="50"/>
        <w:rPr>
          <w:rFonts w:hint="eastAsia" w:ascii="宋体" w:hAnsi="宋体" w:cs="宋体"/>
          <w:sz w:val="36"/>
          <w:szCs w:val="28"/>
          <w:highlight w:val="none"/>
        </w:rPr>
      </w:pPr>
      <w:bookmarkStart w:id="460" w:name="_Toc480909921"/>
      <w:bookmarkStart w:id="461" w:name="_Toc247527782"/>
      <w:bookmarkStart w:id="462" w:name="_Toc247514181"/>
      <w:r>
        <w:rPr>
          <w:rFonts w:hint="eastAsia" w:ascii="宋体" w:hAnsi="宋体" w:cs="宋体"/>
          <w:sz w:val="36"/>
          <w:szCs w:val="28"/>
          <w:highlight w:val="none"/>
        </w:rPr>
        <w:t>21.1 不可抗力的确认</w:t>
      </w:r>
      <w:bookmarkEnd w:id="460"/>
      <w:bookmarkEnd w:id="461"/>
      <w:bookmarkEnd w:id="462"/>
    </w:p>
    <w:p w14:paraId="7FE9EB58">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21.1.1</w:t>
      </w:r>
      <w:r>
        <w:rPr>
          <w:rFonts w:hint="eastAsia" w:ascii="宋体" w:hAnsi="宋体" w:cs="宋体"/>
          <w:sz w:val="22"/>
          <w:highlight w:val="none"/>
        </w:rPr>
        <w:t xml:space="preserve"> 不可抗力是指承包人和发包人在订立合同时不可预见，在履行合同过程中不可避免发生并不能克服的自然灾害和社会性突发事件，如地震、海啸、瘟疫、水灾、骚乱、暴动、战争和专用合同条款约定的其</w:t>
      </w:r>
      <w:r>
        <w:rPr>
          <w:rFonts w:hint="eastAsia" w:ascii="宋体" w:hAnsi="宋体" w:cs="宋体"/>
          <w:sz w:val="22"/>
          <w:szCs w:val="24"/>
          <w:highlight w:val="none"/>
        </w:rPr>
        <w:t>他情形。</w:t>
      </w:r>
    </w:p>
    <w:p w14:paraId="3053AA4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21.1.2</w:t>
      </w:r>
      <w:r>
        <w:rPr>
          <w:rFonts w:hint="eastAsia" w:ascii="宋体" w:hAnsi="宋体" w:cs="宋体"/>
          <w:sz w:val="22"/>
          <w:highlight w:val="none"/>
        </w:rPr>
        <w:t xml:space="preserve"> 不可抗力发生后，发包人和承包人应及时认真统计所造成的损失，收集不可抗力造成损失的证据。合同双方对是否属于不可抗力或其损失的意见不一致的，由监理人按第</w:t>
      </w:r>
      <w:r>
        <w:rPr>
          <w:rFonts w:hint="eastAsia" w:ascii="宋体" w:hAnsi="宋体" w:cs="宋体"/>
          <w:sz w:val="22"/>
          <w:szCs w:val="24"/>
          <w:highlight w:val="none"/>
        </w:rPr>
        <w:t>3.5</w:t>
      </w:r>
      <w:r>
        <w:rPr>
          <w:rFonts w:hint="eastAsia" w:ascii="宋体" w:hAnsi="宋体" w:cs="宋体"/>
          <w:sz w:val="22"/>
          <w:highlight w:val="none"/>
        </w:rPr>
        <w:t xml:space="preserve"> 款商定或确定。发生争议时，按第24条的约定执行。</w:t>
      </w:r>
    </w:p>
    <w:p w14:paraId="6987F468">
      <w:pPr>
        <w:pStyle w:val="4"/>
        <w:spacing w:before="156" w:beforeLines="50"/>
        <w:rPr>
          <w:rFonts w:hint="eastAsia" w:ascii="宋体" w:hAnsi="宋体" w:cs="宋体"/>
          <w:sz w:val="36"/>
          <w:szCs w:val="28"/>
          <w:highlight w:val="none"/>
        </w:rPr>
      </w:pPr>
      <w:bookmarkStart w:id="463" w:name="_Toc247527783"/>
      <w:bookmarkStart w:id="464" w:name="_Toc480909922"/>
      <w:bookmarkStart w:id="465" w:name="_Toc247514182"/>
      <w:r>
        <w:rPr>
          <w:rFonts w:hint="eastAsia" w:ascii="宋体" w:hAnsi="宋体" w:cs="宋体"/>
          <w:sz w:val="36"/>
          <w:szCs w:val="28"/>
          <w:highlight w:val="none"/>
        </w:rPr>
        <w:t>21.2 不可抗力的通知</w:t>
      </w:r>
      <w:bookmarkEnd w:id="463"/>
      <w:bookmarkEnd w:id="464"/>
      <w:bookmarkEnd w:id="465"/>
    </w:p>
    <w:p w14:paraId="53171FD3">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21.2.1</w:t>
      </w:r>
      <w:r>
        <w:rPr>
          <w:rFonts w:hint="eastAsia" w:ascii="宋体" w:hAnsi="宋体" w:cs="宋体"/>
          <w:sz w:val="22"/>
          <w:highlight w:val="none"/>
        </w:rPr>
        <w:t xml:space="preserve"> 合同一方当事人遇到不可抗力事件，使其履行合同义务受到阻碍时，应立即通知合同另一方当事人和监理人，书面说明不可抗力和受阻碍的详细情况，并提供必要的证明。</w:t>
      </w:r>
    </w:p>
    <w:p w14:paraId="24C1B74E">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21.2.2 </w:t>
      </w:r>
      <w:r>
        <w:rPr>
          <w:rFonts w:hint="eastAsia" w:ascii="宋体" w:hAnsi="宋体" w:cs="宋体"/>
          <w:sz w:val="22"/>
          <w:highlight w:val="none"/>
        </w:rPr>
        <w:t>如不可抗力持续发生，合同一方当事人应及时向合同另一方当事人和监理人提交中间报告，说明不可抗力和履行合同受阻的情况，并于不可抗力事件结束后28天内提交最终报告及有关资料。</w:t>
      </w:r>
    </w:p>
    <w:p w14:paraId="7F48CAF3">
      <w:pPr>
        <w:pStyle w:val="4"/>
        <w:spacing w:before="156" w:beforeLines="50"/>
        <w:rPr>
          <w:rFonts w:hint="eastAsia" w:ascii="宋体" w:hAnsi="宋体" w:cs="宋体"/>
          <w:sz w:val="36"/>
          <w:szCs w:val="28"/>
          <w:highlight w:val="none"/>
        </w:rPr>
      </w:pPr>
      <w:bookmarkStart w:id="466" w:name="_Toc247514183"/>
      <w:bookmarkStart w:id="467" w:name="_Toc247527784"/>
      <w:bookmarkStart w:id="468" w:name="_Toc480909923"/>
      <w:r>
        <w:rPr>
          <w:rFonts w:hint="eastAsia" w:ascii="宋体" w:hAnsi="宋体" w:cs="宋体"/>
          <w:sz w:val="36"/>
          <w:szCs w:val="28"/>
          <w:highlight w:val="none"/>
        </w:rPr>
        <w:t>21.3 不可抗力后果及其处理</w:t>
      </w:r>
      <w:bookmarkEnd w:id="466"/>
      <w:bookmarkEnd w:id="467"/>
      <w:bookmarkEnd w:id="468"/>
    </w:p>
    <w:p w14:paraId="4D13510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21.3.1</w:t>
      </w:r>
      <w:r>
        <w:rPr>
          <w:rFonts w:hint="eastAsia" w:ascii="宋体" w:hAnsi="宋体" w:cs="宋体"/>
          <w:sz w:val="22"/>
          <w:highlight w:val="none"/>
        </w:rPr>
        <w:t xml:space="preserve"> 不可抗力造成损害的责任</w:t>
      </w:r>
    </w:p>
    <w:p w14:paraId="033547C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除专用合同条款另有约定外，不可抗力导致的人员伤亡、财产损失、费用增加和（或）工期延误等后果，由合同双方按以下原则承担：</w:t>
      </w:r>
    </w:p>
    <w:p w14:paraId="5C8A83DE">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（1）永久工程，包括已运至施工场地的材料和工程设备的损害，以及因工程损害造成的第三者人员伤亡和财产损失由发包人承担；</w:t>
      </w:r>
    </w:p>
    <w:p w14:paraId="603015BB">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（2）承包人设备的损坏由承包人承担；</w:t>
      </w:r>
    </w:p>
    <w:p w14:paraId="4431D0D5">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（3）发包人和承包人各自承担其人员伤亡和其他财产损失及其相关费用；</w:t>
      </w:r>
    </w:p>
    <w:p w14:paraId="3F5B84C5">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（4）承包人的停工损失由承包人承担，但停工期间应监理人要求照管工程和清理、修复工程的金额由发包人承担；</w:t>
      </w:r>
    </w:p>
    <w:p w14:paraId="00E659AB">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（5）不能按</w:t>
      </w:r>
      <w:r>
        <w:rPr>
          <w:rFonts w:hint="eastAsia" w:ascii="宋体" w:hAnsi="宋体" w:cs="宋体"/>
          <w:sz w:val="22"/>
          <w:highlight w:val="none"/>
        </w:rPr>
        <w:t>期竣工的，应合理延长工期，承包人不需支付逾期竣工违约金。发包人要求赶工的，承包人应采取赶工措施，赶工费用由发包人承担。</w:t>
      </w:r>
    </w:p>
    <w:p w14:paraId="6FB0DF53">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21.3.2</w:t>
      </w:r>
      <w:r>
        <w:rPr>
          <w:rFonts w:hint="eastAsia" w:ascii="宋体" w:hAnsi="宋体" w:cs="宋体"/>
          <w:sz w:val="22"/>
          <w:highlight w:val="none"/>
        </w:rPr>
        <w:t xml:space="preserve"> 延迟履行期间发生的不可抗力</w:t>
      </w:r>
    </w:p>
    <w:p w14:paraId="565D51F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合同一方当事人延迟履行，在延迟履行期间发生不可抗力的，不免除其责任。</w:t>
      </w:r>
    </w:p>
    <w:p w14:paraId="0BD23525">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21.3.3</w:t>
      </w:r>
      <w:r>
        <w:rPr>
          <w:rFonts w:hint="eastAsia" w:ascii="宋体" w:hAnsi="宋体" w:cs="宋体"/>
          <w:sz w:val="22"/>
          <w:highlight w:val="none"/>
        </w:rPr>
        <w:t xml:space="preserve"> 避免和减少不可抗力损失</w:t>
      </w:r>
    </w:p>
    <w:p w14:paraId="3707725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不可抗力发生后，发包人和承包人均应采取措施尽量避免和减少损失的扩大，任何一方没有采取有效措施导致损失扩大的，应对扩大的损失承担责任。</w:t>
      </w:r>
    </w:p>
    <w:p w14:paraId="5262B1D0">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21.3.4 </w:t>
      </w:r>
      <w:r>
        <w:rPr>
          <w:rFonts w:hint="eastAsia" w:ascii="宋体" w:hAnsi="宋体" w:cs="宋体"/>
          <w:sz w:val="22"/>
          <w:highlight w:val="none"/>
        </w:rPr>
        <w:t>因不可抗力解除合同</w:t>
      </w:r>
    </w:p>
    <w:p w14:paraId="67712E2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合同一方当事人因不可抗力不能履行合同的，应当及时通知对方解除合同。合同解除后，承包人应按照第</w:t>
      </w:r>
      <w:r>
        <w:rPr>
          <w:rFonts w:hint="eastAsia" w:ascii="宋体" w:hAnsi="宋体" w:cs="宋体"/>
          <w:sz w:val="22"/>
          <w:szCs w:val="24"/>
          <w:highlight w:val="none"/>
        </w:rPr>
        <w:t>22.2.4</w:t>
      </w:r>
      <w:r>
        <w:rPr>
          <w:rFonts w:hint="eastAsia" w:ascii="宋体" w:hAnsi="宋体" w:cs="宋体"/>
          <w:sz w:val="22"/>
          <w:highlight w:val="none"/>
        </w:rPr>
        <w:t xml:space="preserve"> 项约定撤离施工场地。已经订货的材料、设备由订货方负责退货或解除订货合同，不能退还的货款和因退货、解除订货合同发生的费用，由发包人承担，因未及时退货造成的损失由责任方承担。合同解除后的付款，参照第</w:t>
      </w:r>
      <w:r>
        <w:rPr>
          <w:rFonts w:hint="eastAsia" w:ascii="宋体" w:hAnsi="宋体" w:cs="宋体"/>
          <w:sz w:val="22"/>
          <w:szCs w:val="24"/>
          <w:highlight w:val="none"/>
        </w:rPr>
        <w:t xml:space="preserve">22.2.3 </w:t>
      </w:r>
      <w:r>
        <w:rPr>
          <w:rFonts w:hint="eastAsia" w:ascii="宋体" w:hAnsi="宋体" w:cs="宋体"/>
          <w:sz w:val="22"/>
          <w:highlight w:val="none"/>
        </w:rPr>
        <w:t>项约定，由监理人按第</w:t>
      </w:r>
      <w:r>
        <w:rPr>
          <w:rFonts w:hint="eastAsia" w:ascii="宋体" w:hAnsi="宋体" w:cs="宋体"/>
          <w:sz w:val="22"/>
          <w:szCs w:val="24"/>
          <w:highlight w:val="none"/>
        </w:rPr>
        <w:t xml:space="preserve">3.5 </w:t>
      </w:r>
      <w:r>
        <w:rPr>
          <w:rFonts w:hint="eastAsia" w:ascii="宋体" w:hAnsi="宋体" w:cs="宋体"/>
          <w:sz w:val="22"/>
          <w:highlight w:val="none"/>
        </w:rPr>
        <w:t>款商定或确定。</w:t>
      </w:r>
    </w:p>
    <w:p w14:paraId="0A9AC351">
      <w:pPr>
        <w:pStyle w:val="3"/>
        <w:spacing w:before="156" w:beforeLines="50" w:after="0" w:line="360" w:lineRule="auto"/>
        <w:rPr>
          <w:rFonts w:hint="eastAsia" w:ascii="宋体" w:hAnsi="宋体" w:cs="宋体"/>
          <w:b w:val="0"/>
          <w:highlight w:val="none"/>
        </w:rPr>
      </w:pPr>
      <w:bookmarkStart w:id="469" w:name="_Toc247514184"/>
      <w:bookmarkStart w:id="470" w:name="_Toc247527785"/>
      <w:bookmarkStart w:id="471" w:name="_Toc480909924"/>
      <w:bookmarkStart w:id="472" w:name="_Toc184635119"/>
      <w:r>
        <w:rPr>
          <w:rFonts w:hint="eastAsia" w:ascii="宋体" w:hAnsi="宋体" w:cs="宋体"/>
          <w:b w:val="0"/>
          <w:highlight w:val="none"/>
        </w:rPr>
        <w:t>22. 违约</w:t>
      </w:r>
      <w:bookmarkEnd w:id="469"/>
      <w:bookmarkEnd w:id="470"/>
      <w:bookmarkEnd w:id="471"/>
      <w:bookmarkEnd w:id="472"/>
    </w:p>
    <w:p w14:paraId="2AF282F2">
      <w:pPr>
        <w:pStyle w:val="4"/>
        <w:spacing w:before="156" w:beforeLines="50"/>
        <w:rPr>
          <w:rFonts w:hint="eastAsia" w:ascii="宋体" w:hAnsi="宋体" w:cs="宋体"/>
          <w:sz w:val="36"/>
          <w:szCs w:val="28"/>
          <w:highlight w:val="none"/>
        </w:rPr>
      </w:pPr>
      <w:bookmarkStart w:id="473" w:name="_Toc480909925"/>
      <w:bookmarkStart w:id="474" w:name="_Toc247527786"/>
      <w:bookmarkStart w:id="475" w:name="_Toc247514185"/>
      <w:r>
        <w:rPr>
          <w:rFonts w:hint="eastAsia" w:ascii="宋体" w:hAnsi="宋体" w:cs="宋体"/>
          <w:sz w:val="36"/>
          <w:szCs w:val="28"/>
          <w:highlight w:val="none"/>
        </w:rPr>
        <w:t>22.1 承包人违约</w:t>
      </w:r>
      <w:bookmarkEnd w:id="473"/>
      <w:bookmarkEnd w:id="474"/>
      <w:bookmarkEnd w:id="475"/>
    </w:p>
    <w:p w14:paraId="639B94B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22.1.1 承包人违约的情形</w:t>
      </w:r>
    </w:p>
    <w:p w14:paraId="35C6696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在履行合同过程中发生的下列情况之一的，属承包人违约：</w:t>
      </w:r>
    </w:p>
    <w:p w14:paraId="574B6F0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（1）承包人的设计、承包人文件、实施和竣工的工程不符合法律以及合同约定；</w:t>
      </w:r>
    </w:p>
    <w:p w14:paraId="62CA3B0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（2）承包人违反第1.8 款或第4.3 款的约定，私自将合同的全部或部分权利转让给其他人，或私自将合同的全部或部分义务转移给其他人；</w:t>
      </w:r>
    </w:p>
    <w:p w14:paraId="143F058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（3）承包人违反第6.3 款或第7.4 款的约定，未经监理人批准，私自将已按合同约定进入施工场地的施工设备、临时设施或材料撤离施工场地；</w:t>
      </w:r>
    </w:p>
    <w:p w14:paraId="2C871C9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（4）承包人违反第6.5 款的约定使用了不合格材料或工程设备，工程质量达不到标准要求，又拒绝清除不合格工程；</w:t>
      </w:r>
    </w:p>
    <w:p w14:paraId="1F89100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（5）承包人未能按合同进度计划及时完成合同约定的工作，造成工期延误；</w:t>
      </w:r>
    </w:p>
    <w:p w14:paraId="5FF711C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（6）由于承包人原因未能通过竣工试验或竣工后试验的；</w:t>
      </w:r>
    </w:p>
    <w:p w14:paraId="53C45D9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（7）承包人在缺陷责任期内，未能对工程接收证书所列的缺陷清单的内容或缺陷责任期内发生的缺陷进行修复，而又拒绝按监理人指示再进行修补；</w:t>
      </w:r>
    </w:p>
    <w:p w14:paraId="2B242A7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（8）承包人无法继续履行或明确表示不履行或实质上已停止履行合同；</w:t>
      </w:r>
    </w:p>
    <w:p w14:paraId="27BEB6B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（9）承包人不按合同约定履行义务的其他情况。</w:t>
      </w:r>
    </w:p>
    <w:p w14:paraId="60E9F34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22.1.2 对承包人违约的处理</w:t>
      </w:r>
    </w:p>
    <w:p w14:paraId="290BD0D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（1）承包人发生第22.1.1（6）目约定的违约情况时，按照发包人要求中的未能通过竣工/竣工后试验的损害进行赔偿。发生延期的，承包人应承担延期责任。</w:t>
      </w:r>
    </w:p>
    <w:p w14:paraId="5BBE7CF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（2）承包人发生第22.1.1（8）目约定的违约情况时，发包人可通知承包人立即解除合同，并按第22.1.3项、第22.1.4项、第22.1.5项约定处理。</w:t>
      </w:r>
    </w:p>
    <w:p w14:paraId="4282F9D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承包人发生除第22.1.1（6）目和第22.1.1（8）目约定以外的其他违约情况时，监理人可向承包人发出整改通知，要求其在指定的期限内纠正。除合同条款另有约定外，承包人应承担其违约所引起的费用增加和（或）工期延误。</w:t>
      </w:r>
    </w:p>
    <w:p w14:paraId="0DD4F6C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22.1.3 因承包人违约解除合同</w:t>
      </w:r>
    </w:p>
    <w:p w14:paraId="05686AB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监理人发出整改通知28天后，承包人仍不纠正违约行为的，发包人有权解除合同并向承包人发出解除合同通知。承包人收到发包人解除合同通知后14天内，承包人应撤离现场，发包人派员进驻施工场地完成现场交接手续，发包人有权另行组织人员或委托其他承包人。发包人因继续完成该工程的需要，有权扣留使用承包人在现场的材料、设备和临时设施。但发包人的这一行动不免除承包人应承担的违约责任，也不影响发包人根据合同约定享有的索赔权利。</w:t>
      </w:r>
    </w:p>
    <w:p w14:paraId="604C942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22.1.4 发包人发出合同解除通知后的估价、付款和结清</w:t>
      </w:r>
    </w:p>
    <w:p w14:paraId="54B6866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（1）承包人收到发包人解除合同通知后28天内，监理人按第3.5 款商定或确定承包人实际完成工作的价值，包括发包人扣留承包人的材料、设备及临时设施和承包人已提供的设计、材料、施工设备、工程设备、临时工程等的价值。</w:t>
      </w:r>
    </w:p>
    <w:p w14:paraId="1503DCD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（2）发包人发出解除合同通知后，发包人有权暂停对承包人的一切付款，查清各项付款和已扣款金额，包括承包人应支付的违约金。</w:t>
      </w:r>
    </w:p>
    <w:p w14:paraId="12EF9D9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（3）发包人发出解除合同通知后，发包人有权按第23.4 款的约定向承包人索赔由于解除合同给发包人造成的损失。</w:t>
      </w:r>
    </w:p>
    <w:p w14:paraId="02882B5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（4）合同双方确认合同价款后，发包人颁发最终结清付款证书，并结清全部合同款项。</w:t>
      </w:r>
    </w:p>
    <w:p w14:paraId="3BFC5AC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（5）发包人和承包人未能就解除合同后的结清达成一致而形成争议的，按第24条的约定执行。</w:t>
      </w:r>
    </w:p>
    <w:p w14:paraId="1244589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22.1.5 协议利益的转让</w:t>
      </w:r>
    </w:p>
    <w:p w14:paraId="3CDA288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因承包人违约解除合同的，发包人有权要求承包人将其为实施合同而签订的材料和设备的订货协议或任何服务协议利益转让给发包人，并在承包人收到解除合同通知后的14天内，依法办理转让手续。发包人有权使用承包人文件和由承包人或以其名义编制的其他设计文件。</w:t>
      </w:r>
    </w:p>
    <w:p w14:paraId="3B5D55E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22.1.6 紧急情况下无能力或不愿进行抢救</w:t>
      </w:r>
    </w:p>
    <w:p w14:paraId="1A14A32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02149B1A">
      <w:pPr>
        <w:pStyle w:val="4"/>
        <w:spacing w:before="156" w:beforeLines="50"/>
        <w:rPr>
          <w:rFonts w:hint="eastAsia" w:ascii="宋体" w:hAnsi="宋体" w:cs="宋体"/>
          <w:sz w:val="36"/>
          <w:szCs w:val="28"/>
          <w:highlight w:val="none"/>
        </w:rPr>
      </w:pPr>
      <w:bookmarkStart w:id="476" w:name="_Toc247527787"/>
      <w:bookmarkStart w:id="477" w:name="_Toc247514186"/>
      <w:bookmarkStart w:id="478" w:name="_Toc480909926"/>
      <w:r>
        <w:rPr>
          <w:rFonts w:hint="eastAsia" w:ascii="宋体" w:hAnsi="宋体" w:cs="宋体"/>
          <w:sz w:val="36"/>
          <w:szCs w:val="28"/>
          <w:highlight w:val="none"/>
        </w:rPr>
        <w:t>22.2 发包人违约</w:t>
      </w:r>
      <w:bookmarkEnd w:id="476"/>
      <w:bookmarkEnd w:id="477"/>
      <w:bookmarkEnd w:id="478"/>
    </w:p>
    <w:p w14:paraId="6E13151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22.2.1 发包人违约的情形</w:t>
      </w:r>
    </w:p>
    <w:p w14:paraId="1B9C330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在履行合同过程中发生下列情形之一的，属发包人违约：</w:t>
      </w:r>
    </w:p>
    <w:p w14:paraId="5B057C4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（1）发包人未能按合同约定支付价款，或拖延、拒绝批准付款申请和支付凭证，导致付款延误；</w:t>
      </w:r>
    </w:p>
    <w:p w14:paraId="6F87ADC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（2）发包人原因造成停工；</w:t>
      </w:r>
    </w:p>
    <w:p w14:paraId="0E1F922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（3）监理人无正当理由没有在约定期限内发出复工指示，导致承包人无法复工；</w:t>
      </w:r>
    </w:p>
    <w:p w14:paraId="751BDD1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（4）发包人无法继续履行或明确表示不履行或实质上已停止履行合同；</w:t>
      </w:r>
    </w:p>
    <w:p w14:paraId="201ACDA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（5）发包人不履行合同约定其他义务。</w:t>
      </w:r>
    </w:p>
    <w:p w14:paraId="7E6E83E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22.2.2 因发包人违约解除合同</w:t>
      </w:r>
    </w:p>
    <w:p w14:paraId="295B5A7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（1）发生第22.2.1（4）目的违约情况时，承包人可书面通知发包人解除合同。</w:t>
      </w:r>
    </w:p>
    <w:p w14:paraId="23D073A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（2）承包人按12.2.1项约定暂停施工28天后，发包人仍不纠正违约行为的，承包人可向发包人发出解除合同通知。但承包人的这一行为不免除发包人承担的违约责任，也不影响承包人根据合同约定享有的索赔权利。</w:t>
      </w:r>
    </w:p>
    <w:p w14:paraId="7A8FF5E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22.2.3 解除合同后的付款</w:t>
      </w:r>
    </w:p>
    <w:p w14:paraId="64409BC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因发包人违约解除合同的，发包人应在解除合同后28天内向承包人支付下列款项，承包人应在此期限内及时向发包人提交要求支付下列金额的有关资料和凭证：</w:t>
      </w:r>
    </w:p>
    <w:p w14:paraId="65466FA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（1）承包人发出解除合同通知前所完成工作的价款；</w:t>
      </w:r>
    </w:p>
    <w:p w14:paraId="2972AF4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（2）承包人为该工程施工订购并已付款的材料、工程设备和其他物品的金额。发包人付款后，该材料、工程设备和其他物品归发包人所有；</w:t>
      </w:r>
    </w:p>
    <w:p w14:paraId="36377E2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（3）承包人为完成工程所发生的，而发包人未支付的金额；</w:t>
      </w:r>
    </w:p>
    <w:p w14:paraId="4DAC6E0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（4）承包人撤离施工现场以及遣散承包人人员的金额；</w:t>
      </w:r>
    </w:p>
    <w:p w14:paraId="2D2F136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（5）因解除合同造成的承包人损失；</w:t>
      </w:r>
    </w:p>
    <w:p w14:paraId="34A88E5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（6）按合同约定在承包人发出解除合同通知前应支付给承包人的其他金额。</w:t>
      </w:r>
    </w:p>
    <w:p w14:paraId="353BC9F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发包人应按本项约定支付上述金额并退还质量保证金和履约担保，但有权要求承包人支付应偿还给发包人的各项金额。</w:t>
      </w:r>
    </w:p>
    <w:p w14:paraId="21B867F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22.2.4 解除合同后的承包人撤离</w:t>
      </w:r>
    </w:p>
    <w:p w14:paraId="680D5928">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因发包人违约而解除合同后，承包人应妥善处理正在施工的工程和已购材料、设备的保护和移交工作，并按发包人的要求将承包人设备和人员撤出施工场地。承包人撤出施工场地应遵守第18.7.1 项的约定，发包人应为承包人撤出提供必要条件并办理移交手续。</w:t>
      </w:r>
    </w:p>
    <w:p w14:paraId="5A307FA2">
      <w:pPr>
        <w:pStyle w:val="4"/>
        <w:spacing w:before="156" w:beforeLines="50"/>
        <w:rPr>
          <w:rFonts w:hint="eastAsia" w:ascii="宋体" w:hAnsi="宋体" w:cs="宋体"/>
          <w:sz w:val="36"/>
          <w:szCs w:val="28"/>
          <w:highlight w:val="none"/>
        </w:rPr>
      </w:pPr>
      <w:bookmarkStart w:id="479" w:name="_Toc247527788"/>
      <w:bookmarkStart w:id="480" w:name="_Toc247514187"/>
      <w:bookmarkStart w:id="481" w:name="_Toc480909927"/>
      <w:r>
        <w:rPr>
          <w:rFonts w:hint="eastAsia" w:ascii="宋体" w:hAnsi="宋体" w:cs="宋体"/>
          <w:sz w:val="36"/>
          <w:szCs w:val="28"/>
          <w:highlight w:val="none"/>
        </w:rPr>
        <w:t>22.3 第三人造成的违约</w:t>
      </w:r>
      <w:bookmarkEnd w:id="479"/>
      <w:bookmarkEnd w:id="480"/>
      <w:bookmarkEnd w:id="481"/>
    </w:p>
    <w:p w14:paraId="3FC05B8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在履行合同过程中，一方当事人因第三人的原因造成违约的，应当向对方当事人承担违约责任。一方当事人和第三人之间的纠纷，依照法律规定或者按照约定解决。</w:t>
      </w:r>
    </w:p>
    <w:p w14:paraId="099582C6">
      <w:pPr>
        <w:pStyle w:val="3"/>
        <w:spacing w:before="156" w:beforeLines="50" w:after="0" w:line="360" w:lineRule="auto"/>
        <w:rPr>
          <w:rFonts w:hint="eastAsia" w:ascii="宋体" w:hAnsi="宋体" w:cs="宋体"/>
          <w:b w:val="0"/>
          <w:highlight w:val="none"/>
        </w:rPr>
      </w:pPr>
      <w:bookmarkStart w:id="482" w:name="_Toc480909928"/>
      <w:bookmarkStart w:id="483" w:name="_Toc247527789"/>
      <w:bookmarkStart w:id="484" w:name="_Toc247514188"/>
      <w:bookmarkStart w:id="485" w:name="_Toc184635120"/>
      <w:r>
        <w:rPr>
          <w:rFonts w:hint="eastAsia" w:ascii="宋体" w:hAnsi="宋体" w:cs="宋体"/>
          <w:b w:val="0"/>
          <w:highlight w:val="none"/>
        </w:rPr>
        <w:t>23. 索赔</w:t>
      </w:r>
      <w:bookmarkEnd w:id="482"/>
      <w:bookmarkEnd w:id="483"/>
      <w:bookmarkEnd w:id="484"/>
      <w:bookmarkEnd w:id="485"/>
    </w:p>
    <w:p w14:paraId="02D4D030">
      <w:pPr>
        <w:pStyle w:val="4"/>
        <w:spacing w:before="156" w:beforeLines="50"/>
        <w:rPr>
          <w:rFonts w:hint="eastAsia" w:ascii="宋体" w:hAnsi="宋体" w:cs="宋体"/>
          <w:sz w:val="36"/>
          <w:szCs w:val="28"/>
          <w:highlight w:val="none"/>
        </w:rPr>
      </w:pPr>
      <w:bookmarkStart w:id="486" w:name="_Toc247527790"/>
      <w:bookmarkStart w:id="487" w:name="_Toc247514189"/>
      <w:bookmarkStart w:id="488" w:name="_Toc480909929"/>
      <w:r>
        <w:rPr>
          <w:rFonts w:hint="eastAsia" w:ascii="宋体" w:hAnsi="宋体" w:cs="宋体"/>
          <w:sz w:val="36"/>
          <w:szCs w:val="28"/>
          <w:highlight w:val="none"/>
        </w:rPr>
        <w:t>23.1 承包人索赔的提出</w:t>
      </w:r>
      <w:bookmarkEnd w:id="486"/>
      <w:bookmarkEnd w:id="487"/>
      <w:bookmarkEnd w:id="488"/>
    </w:p>
    <w:p w14:paraId="41EE021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根据合同约定，承包人认为有权得到追加付款和（或）延长工期的，应按以下程序向发包人提出索赔：</w:t>
      </w:r>
    </w:p>
    <w:p w14:paraId="2B4A1783">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（1）承包人应在知道或应当知道索赔事件发生后28 天内，向监理人递交索赔意向通知书，并说明发生索赔事件的事由。承包人未在前述28天内发出索赔意向通知书的，工期不予顺延，且承包人无权获得追加付款；</w:t>
      </w:r>
    </w:p>
    <w:p w14:paraId="2A9D03AA">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（2）承包人应在发出索赔意向通知书后28天内，向监理人正式递交索赔通知书。索赔通知书应详细说明索赔理由以及要求追加的付款金额和（或）延长的工期，并附必要的记录和证明材料；</w:t>
      </w:r>
    </w:p>
    <w:p w14:paraId="7C05872E">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（3）索赔事件具有连续影响的，承包人应按合理时间间隔继续递交延续索赔通知，说明连续影响的实际情况和记录，列出累计的追加付款金额和（或）工期延长天数；</w:t>
      </w:r>
    </w:p>
    <w:p w14:paraId="2081FFE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（4）</w:t>
      </w:r>
      <w:r>
        <w:rPr>
          <w:rFonts w:hint="eastAsia" w:ascii="宋体" w:hAnsi="宋体" w:cs="宋体"/>
          <w:sz w:val="22"/>
          <w:highlight w:val="none"/>
        </w:rPr>
        <w:t>在索赔事件影响结束后的28 天内，承包人应向监理人递交最终索赔通知书，说明最终要求索赔的追加付款金额和延长的工期，并附必要的记录和证明材料。</w:t>
      </w:r>
    </w:p>
    <w:p w14:paraId="3EAC7072">
      <w:pPr>
        <w:pStyle w:val="4"/>
        <w:spacing w:before="156" w:beforeLines="50"/>
        <w:rPr>
          <w:rFonts w:hint="eastAsia" w:ascii="宋体" w:hAnsi="宋体" w:cs="宋体"/>
          <w:sz w:val="36"/>
          <w:szCs w:val="28"/>
          <w:highlight w:val="none"/>
        </w:rPr>
      </w:pPr>
      <w:bookmarkStart w:id="489" w:name="_Toc480909930"/>
      <w:bookmarkStart w:id="490" w:name="_Toc247527791"/>
      <w:bookmarkStart w:id="491" w:name="_Toc247514190"/>
      <w:r>
        <w:rPr>
          <w:rFonts w:hint="eastAsia" w:ascii="宋体" w:hAnsi="宋体" w:cs="宋体"/>
          <w:sz w:val="36"/>
          <w:szCs w:val="28"/>
          <w:highlight w:val="none"/>
        </w:rPr>
        <w:t>23.2 承包人索赔处理程序</w:t>
      </w:r>
      <w:bookmarkEnd w:id="489"/>
      <w:bookmarkEnd w:id="490"/>
      <w:bookmarkEnd w:id="491"/>
    </w:p>
    <w:p w14:paraId="6A02A0D4">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（1）监理人收到承包人提交的索赔通知书后，应及时审查索赔通知书的内容、查验承包人的记录和证明材料，必要时监理人可要求承包人提交全部原始记录副本。</w:t>
      </w:r>
    </w:p>
    <w:p w14:paraId="3F0B2802">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（2）监理人应按第3.5 款商定或确定追加的付款和（或）延长的工期，并在收到上述索赔通知书或有关索赔的进一步证明材料后的42天内，将索赔处理结果答复承包人。监理人应当在收到索赔通知书或有关索赔的进一步证明材料后的42天内不予答复的，视为认可索赔。</w:t>
      </w:r>
    </w:p>
    <w:p w14:paraId="0A4F56E3">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（3）承包人接受索赔处</w:t>
      </w:r>
      <w:r>
        <w:rPr>
          <w:rFonts w:hint="eastAsia" w:ascii="宋体" w:hAnsi="宋体" w:cs="宋体"/>
          <w:sz w:val="22"/>
          <w:highlight w:val="none"/>
        </w:rPr>
        <w:t>理结果的，发包人应在作出索赔处理结果答复后28 天内完成赔付。承包人不接受索赔处理结果的，按第24条的约定执行。</w:t>
      </w:r>
    </w:p>
    <w:p w14:paraId="1C43ABE5">
      <w:pPr>
        <w:pStyle w:val="4"/>
        <w:spacing w:before="156" w:beforeLines="50"/>
        <w:rPr>
          <w:rFonts w:hint="eastAsia" w:ascii="宋体" w:hAnsi="宋体" w:cs="宋体"/>
          <w:sz w:val="36"/>
          <w:szCs w:val="28"/>
          <w:highlight w:val="none"/>
        </w:rPr>
      </w:pPr>
      <w:bookmarkStart w:id="492" w:name="_Toc480909931"/>
      <w:bookmarkStart w:id="493" w:name="_Toc247527792"/>
      <w:bookmarkStart w:id="494" w:name="_Toc247514191"/>
      <w:r>
        <w:rPr>
          <w:rFonts w:hint="eastAsia" w:ascii="宋体" w:hAnsi="宋体" w:cs="宋体"/>
          <w:sz w:val="36"/>
          <w:szCs w:val="28"/>
          <w:highlight w:val="none"/>
        </w:rPr>
        <w:t>23.3 承包人提出索赔的期限</w:t>
      </w:r>
      <w:bookmarkEnd w:id="492"/>
      <w:bookmarkEnd w:id="493"/>
      <w:bookmarkEnd w:id="494"/>
    </w:p>
    <w:p w14:paraId="69905DE6">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23.3.1</w:t>
      </w:r>
      <w:r>
        <w:rPr>
          <w:rFonts w:hint="eastAsia" w:ascii="宋体" w:hAnsi="宋体" w:cs="宋体"/>
          <w:sz w:val="22"/>
          <w:highlight w:val="none"/>
        </w:rPr>
        <w:t xml:space="preserve"> 承包人按</w:t>
      </w:r>
      <w:r>
        <w:rPr>
          <w:rFonts w:hint="eastAsia" w:ascii="宋体" w:hAnsi="宋体" w:cs="宋体"/>
          <w:sz w:val="22"/>
          <w:szCs w:val="24"/>
          <w:highlight w:val="none"/>
        </w:rPr>
        <w:t xml:space="preserve">第17.5 </w:t>
      </w:r>
      <w:r>
        <w:rPr>
          <w:rFonts w:hint="eastAsia" w:ascii="宋体" w:hAnsi="宋体" w:cs="宋体"/>
          <w:sz w:val="22"/>
          <w:highlight w:val="none"/>
        </w:rPr>
        <w:t>款的约定接受了竣工付款证书后，应被认为已无权再提出在合同工程接收证书颁发前所发生的任何索赔。</w:t>
      </w:r>
    </w:p>
    <w:p w14:paraId="0FEBD9B5">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23.3.2 </w:t>
      </w:r>
      <w:r>
        <w:rPr>
          <w:rFonts w:hint="eastAsia" w:ascii="宋体" w:hAnsi="宋体" w:cs="宋体"/>
          <w:sz w:val="22"/>
          <w:highlight w:val="none"/>
        </w:rPr>
        <w:t>承包人按</w:t>
      </w:r>
      <w:r>
        <w:rPr>
          <w:rFonts w:hint="eastAsia" w:ascii="宋体" w:hAnsi="宋体" w:cs="宋体"/>
          <w:sz w:val="22"/>
          <w:szCs w:val="24"/>
          <w:highlight w:val="none"/>
        </w:rPr>
        <w:t>第17.6 款</w:t>
      </w:r>
      <w:r>
        <w:rPr>
          <w:rFonts w:hint="eastAsia" w:ascii="宋体" w:hAnsi="宋体" w:cs="宋体"/>
          <w:sz w:val="22"/>
          <w:highlight w:val="none"/>
        </w:rPr>
        <w:t>的约定提交的最终结清申请单中，只限于提出工程接收证书颁发后发生的索赔。提出索赔的期限自接受最终结清证书时终止。</w:t>
      </w:r>
    </w:p>
    <w:p w14:paraId="13EF4D41">
      <w:pPr>
        <w:pStyle w:val="4"/>
        <w:spacing w:before="156" w:beforeLines="50"/>
        <w:rPr>
          <w:rFonts w:hint="eastAsia" w:ascii="宋体" w:hAnsi="宋体" w:cs="宋体"/>
          <w:sz w:val="36"/>
          <w:szCs w:val="28"/>
          <w:highlight w:val="none"/>
        </w:rPr>
      </w:pPr>
      <w:bookmarkStart w:id="495" w:name="_Toc247514192"/>
      <w:bookmarkStart w:id="496" w:name="_Toc480909932"/>
      <w:bookmarkStart w:id="497" w:name="_Toc247527793"/>
      <w:r>
        <w:rPr>
          <w:rFonts w:hint="eastAsia" w:ascii="宋体" w:hAnsi="宋体" w:cs="宋体"/>
          <w:sz w:val="36"/>
          <w:szCs w:val="28"/>
          <w:highlight w:val="none"/>
        </w:rPr>
        <w:t>23.4 发包人的索赔</w:t>
      </w:r>
      <w:bookmarkEnd w:id="495"/>
      <w:bookmarkEnd w:id="496"/>
      <w:bookmarkEnd w:id="497"/>
    </w:p>
    <w:p w14:paraId="2BC49C3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23.4.1</w:t>
      </w:r>
      <w:r>
        <w:rPr>
          <w:rFonts w:hint="eastAsia" w:ascii="宋体" w:hAnsi="宋体" w:cs="宋体"/>
          <w:sz w:val="22"/>
          <w:highlight w:val="none"/>
        </w:rPr>
        <w:t xml:space="preserve"> 发包人应在知道或应当知道索赔事件发生后28天内，向承包人发出索赔通知，并说明发包人有权扣减的付款和（或）延长缺陷责任期的细节和依据。发包人未在前述28天内发出索赔通知的，丧失要求扣减付款和（或）延长缺陷责任期的权利。发包人提出索赔的期限和要求与第</w:t>
      </w:r>
      <w:r>
        <w:rPr>
          <w:rFonts w:hint="eastAsia" w:ascii="宋体" w:hAnsi="宋体" w:cs="宋体"/>
          <w:sz w:val="22"/>
          <w:szCs w:val="24"/>
          <w:highlight w:val="none"/>
        </w:rPr>
        <w:t xml:space="preserve">23.3 </w:t>
      </w:r>
      <w:r>
        <w:rPr>
          <w:rFonts w:hint="eastAsia" w:ascii="宋体" w:hAnsi="宋体" w:cs="宋体"/>
          <w:sz w:val="22"/>
          <w:highlight w:val="none"/>
        </w:rPr>
        <w:t>款的约定相同，要求延长缺陷责任期的通知应在缺陷责任期届满前发出。</w:t>
      </w:r>
    </w:p>
    <w:p w14:paraId="1CB31A26">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23.4.2</w:t>
      </w:r>
      <w:r>
        <w:rPr>
          <w:rFonts w:hint="eastAsia" w:ascii="宋体" w:hAnsi="宋体" w:cs="宋体"/>
          <w:sz w:val="22"/>
          <w:highlight w:val="none"/>
        </w:rPr>
        <w:t xml:space="preserve"> 发包人按</w:t>
      </w:r>
      <w:r>
        <w:rPr>
          <w:rFonts w:hint="eastAsia" w:ascii="宋体" w:hAnsi="宋体" w:cs="宋体"/>
          <w:sz w:val="22"/>
          <w:szCs w:val="24"/>
          <w:highlight w:val="none"/>
        </w:rPr>
        <w:t>第3.5 款商</w:t>
      </w:r>
      <w:r>
        <w:rPr>
          <w:rFonts w:hint="eastAsia" w:ascii="宋体" w:hAnsi="宋体" w:cs="宋体"/>
          <w:sz w:val="22"/>
          <w:highlight w:val="none"/>
        </w:rPr>
        <w:t>定或确定发包人从承包人处得到赔付的金额和（或）缺陷责任期的延长期。承包人应付给发包人的金额可从拟支付给承包人的合同价款中扣除，或由承包人以其他方式支付给发包人。</w:t>
      </w:r>
    </w:p>
    <w:p w14:paraId="46F03B67">
      <w:pPr>
        <w:pStyle w:val="3"/>
        <w:spacing w:before="156" w:beforeLines="50" w:after="0" w:line="360" w:lineRule="auto"/>
        <w:rPr>
          <w:rFonts w:hint="eastAsia" w:ascii="宋体" w:hAnsi="宋体" w:cs="宋体"/>
          <w:b w:val="0"/>
          <w:highlight w:val="none"/>
        </w:rPr>
      </w:pPr>
      <w:bookmarkStart w:id="498" w:name="_Toc247514193"/>
      <w:bookmarkStart w:id="499" w:name="_Toc480909933"/>
      <w:bookmarkStart w:id="500" w:name="_Toc247527794"/>
      <w:bookmarkStart w:id="501" w:name="_Toc184635121"/>
      <w:r>
        <w:rPr>
          <w:rFonts w:hint="eastAsia" w:ascii="宋体" w:hAnsi="宋体" w:cs="宋体"/>
          <w:b w:val="0"/>
          <w:highlight w:val="none"/>
        </w:rPr>
        <w:t>24. 争议的解决</w:t>
      </w:r>
      <w:bookmarkEnd w:id="498"/>
      <w:bookmarkEnd w:id="499"/>
      <w:bookmarkEnd w:id="500"/>
      <w:bookmarkEnd w:id="501"/>
    </w:p>
    <w:p w14:paraId="6AC8AA2D">
      <w:pPr>
        <w:pStyle w:val="4"/>
        <w:spacing w:before="156" w:beforeLines="50"/>
        <w:rPr>
          <w:rFonts w:hint="eastAsia" w:ascii="宋体" w:hAnsi="宋体" w:cs="宋体"/>
          <w:sz w:val="36"/>
          <w:szCs w:val="28"/>
          <w:highlight w:val="none"/>
        </w:rPr>
      </w:pPr>
      <w:bookmarkStart w:id="502" w:name="_Toc247527795"/>
      <w:bookmarkStart w:id="503" w:name="_Toc247514194"/>
      <w:bookmarkStart w:id="504" w:name="_Toc480909934"/>
      <w:r>
        <w:rPr>
          <w:rFonts w:hint="eastAsia" w:ascii="宋体" w:hAnsi="宋体" w:cs="宋体"/>
          <w:sz w:val="36"/>
          <w:szCs w:val="28"/>
          <w:highlight w:val="none"/>
        </w:rPr>
        <w:t>24.1 争议的解决方式</w:t>
      </w:r>
      <w:bookmarkEnd w:id="502"/>
      <w:bookmarkEnd w:id="503"/>
      <w:bookmarkEnd w:id="504"/>
    </w:p>
    <w:p w14:paraId="227FEE3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B82A60B">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（1）向约定的仲裁委员会申请仲裁；</w:t>
      </w:r>
    </w:p>
    <w:p w14:paraId="4F58E1C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（2）向有管</w:t>
      </w:r>
      <w:r>
        <w:rPr>
          <w:rFonts w:hint="eastAsia" w:ascii="宋体" w:hAnsi="宋体" w:cs="宋体"/>
          <w:sz w:val="22"/>
          <w:highlight w:val="none"/>
        </w:rPr>
        <w:t>辖权的人民法院提起诉讼。</w:t>
      </w:r>
    </w:p>
    <w:p w14:paraId="5B4A16CC">
      <w:pPr>
        <w:pStyle w:val="4"/>
        <w:spacing w:before="156" w:beforeLines="50"/>
        <w:rPr>
          <w:rFonts w:hint="eastAsia" w:ascii="宋体" w:hAnsi="宋体" w:cs="宋体"/>
          <w:sz w:val="36"/>
          <w:szCs w:val="28"/>
          <w:highlight w:val="none"/>
        </w:rPr>
      </w:pPr>
      <w:bookmarkStart w:id="505" w:name="_Toc480909935"/>
      <w:bookmarkStart w:id="506" w:name="_Toc247514195"/>
      <w:bookmarkStart w:id="507" w:name="_Toc247527796"/>
      <w:r>
        <w:rPr>
          <w:rFonts w:hint="eastAsia" w:ascii="宋体" w:hAnsi="宋体" w:cs="宋体"/>
          <w:sz w:val="36"/>
          <w:szCs w:val="28"/>
          <w:highlight w:val="none"/>
        </w:rPr>
        <w:t>24.2 友好解决</w:t>
      </w:r>
      <w:bookmarkEnd w:id="505"/>
      <w:bookmarkEnd w:id="506"/>
      <w:bookmarkEnd w:id="507"/>
    </w:p>
    <w:p w14:paraId="0E121A7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在提请争议评审、仲裁或者诉讼前，以及在争议评审、仲裁或诉讼过程中，发包人和承包人均可共同努力友好协商解决争议。</w:t>
      </w:r>
    </w:p>
    <w:p w14:paraId="661DDBC6">
      <w:pPr>
        <w:pStyle w:val="4"/>
        <w:spacing w:before="156" w:beforeLines="50"/>
        <w:rPr>
          <w:rFonts w:hint="eastAsia" w:ascii="宋体" w:hAnsi="宋体" w:cs="宋体"/>
          <w:sz w:val="36"/>
          <w:szCs w:val="28"/>
          <w:highlight w:val="none"/>
        </w:rPr>
      </w:pPr>
      <w:bookmarkStart w:id="508" w:name="_Toc247514196"/>
      <w:bookmarkStart w:id="509" w:name="_Toc247527797"/>
      <w:bookmarkStart w:id="510" w:name="_Toc480909936"/>
      <w:r>
        <w:rPr>
          <w:rFonts w:hint="eastAsia" w:ascii="宋体" w:hAnsi="宋体" w:cs="宋体"/>
          <w:sz w:val="36"/>
          <w:szCs w:val="28"/>
          <w:highlight w:val="none"/>
        </w:rPr>
        <w:t>24.3 争议评审</w:t>
      </w:r>
      <w:bookmarkEnd w:id="508"/>
      <w:bookmarkEnd w:id="509"/>
      <w:bookmarkEnd w:id="510"/>
    </w:p>
    <w:p w14:paraId="2BA28837">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24.3.1</w:t>
      </w:r>
      <w:r>
        <w:rPr>
          <w:rFonts w:hint="eastAsia" w:ascii="宋体" w:hAnsi="宋体" w:cs="宋体"/>
          <w:sz w:val="22"/>
          <w:highlight w:val="none"/>
        </w:rPr>
        <w:t xml:space="preserve"> 采用争议评审的，发包人和承包人应在开工日后的28天内或在争议发生后，协商成立争议评审组。争议评审组由有合同管理和工程实践经验的专家组成。</w:t>
      </w:r>
    </w:p>
    <w:p w14:paraId="1659E248">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24.3.2</w:t>
      </w:r>
      <w:r>
        <w:rPr>
          <w:rFonts w:hint="eastAsia" w:ascii="宋体" w:hAnsi="宋体" w:cs="宋体"/>
          <w:sz w:val="22"/>
          <w:highlight w:val="none"/>
        </w:rPr>
        <w:t xml:space="preserve"> 合同双方的争议，应首先由申请人向争议评审组提交一份详细的评审申请报告，并附必要的文件、图纸和证明材料，申请人还应将上述报告的副本同时提交给被申请人和监理人。</w:t>
      </w:r>
    </w:p>
    <w:p w14:paraId="281086A1">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24.3.3</w:t>
      </w:r>
      <w:r>
        <w:rPr>
          <w:rFonts w:hint="eastAsia" w:ascii="宋体" w:hAnsi="宋体" w:cs="宋体"/>
          <w:sz w:val="22"/>
          <w:highlight w:val="none"/>
        </w:rPr>
        <w:t xml:space="preserve"> 被申请人在收到申请人评审申请报告副本后的28 天内，向争议评审组提交一份答辩报告，并附证明材料。被申请人应将答辩报告的副本同时提交给申请人和监理人。</w:t>
      </w:r>
    </w:p>
    <w:p w14:paraId="6DE1997A">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24.3.4</w:t>
      </w:r>
      <w:r>
        <w:rPr>
          <w:rFonts w:hint="eastAsia" w:ascii="宋体" w:hAnsi="宋体" w:cs="宋体"/>
          <w:sz w:val="22"/>
          <w:highlight w:val="none"/>
        </w:rPr>
        <w:t xml:space="preserve"> 除专用合同条款另有约定外，争议评审组在收到合同双方报告后的14天内，邀请双方代表和有关人员举行调查会，向双方调查争议细节；必要时争议评审组可要求双方进一步提供补充材料。</w:t>
      </w:r>
    </w:p>
    <w:p w14:paraId="62AA3C32">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24.3.5</w:t>
      </w:r>
      <w:r>
        <w:rPr>
          <w:rFonts w:hint="eastAsia" w:ascii="宋体" w:hAnsi="宋体" w:cs="宋体"/>
          <w:sz w:val="22"/>
          <w:highlight w:val="none"/>
        </w:rPr>
        <w:t xml:space="preserve"> 除专用合同条款另有约定外，在调查会结束后的14天内，争议评审组应在不受任何干扰的情况下进行独立、公正的评审，作出书面评审意见，并说明理由。在争议评审期间，争议双方暂按总监理工程师的确定执行。</w:t>
      </w:r>
    </w:p>
    <w:p w14:paraId="101B58A7">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 xml:space="preserve">24.3.6 </w:t>
      </w:r>
      <w:r>
        <w:rPr>
          <w:rFonts w:hint="eastAsia" w:ascii="宋体" w:hAnsi="宋体" w:cs="宋体"/>
          <w:sz w:val="22"/>
          <w:highlight w:val="none"/>
        </w:rPr>
        <w:t>发包人和承包人接受评审意见的，由监理人根据评审意见拟定执行协议，经争议双方签字后作为合同的补充文件，并遵照执行。</w:t>
      </w:r>
    </w:p>
    <w:p w14:paraId="12F22DEE">
      <w:pPr>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24.3.7</w:t>
      </w:r>
      <w:r>
        <w:rPr>
          <w:rFonts w:hint="eastAsia" w:ascii="宋体" w:hAnsi="宋体" w:cs="宋体"/>
          <w:sz w:val="22"/>
          <w:highlight w:val="none"/>
        </w:rPr>
        <w:t xml:space="preserve"> 发包人或承包人不接受评审意见，并要求提交仲裁或提起诉讼的，应在收到评审意见后的14 天内将仲裁或起诉意向书面通知另一方，并抄送监理人，但在仲裁或诉讼结束前应暂按总监理工程师的确定执行。</w:t>
      </w:r>
    </w:p>
    <w:p w14:paraId="256273A0">
      <w:pPr>
        <w:pStyle w:val="3"/>
        <w:jc w:val="center"/>
        <w:rPr>
          <w:rFonts w:hint="eastAsia" w:ascii="宋体" w:hAnsi="宋体" w:cs="宋体"/>
          <w:sz w:val="36"/>
          <w:szCs w:val="36"/>
          <w:highlight w:val="none"/>
        </w:rPr>
      </w:pPr>
      <w:r>
        <w:rPr>
          <w:rFonts w:hint="eastAsia" w:ascii="宋体" w:hAnsi="宋体" w:cs="宋体"/>
          <w:sz w:val="36"/>
          <w:szCs w:val="22"/>
          <w:highlight w:val="none"/>
        </w:rPr>
        <w:br w:type="page"/>
      </w:r>
      <w:bookmarkStart w:id="511" w:name="_Toc480909937"/>
      <w:r>
        <w:rPr>
          <w:rFonts w:hint="eastAsia" w:ascii="宋体" w:hAnsi="宋体" w:cs="宋体"/>
          <w:sz w:val="36"/>
          <w:szCs w:val="36"/>
          <w:highlight w:val="none"/>
        </w:rPr>
        <w:t>第三部分 专用合同条款</w:t>
      </w:r>
      <w:bookmarkEnd w:id="511"/>
    </w:p>
    <w:p w14:paraId="1E12563A">
      <w:pPr>
        <w:pStyle w:val="3"/>
        <w:spacing w:before="156" w:beforeLines="50" w:after="0" w:line="360" w:lineRule="auto"/>
        <w:rPr>
          <w:rFonts w:hint="eastAsia" w:ascii="宋体" w:hAnsi="宋体" w:cs="宋体"/>
          <w:b w:val="0"/>
          <w:highlight w:val="none"/>
        </w:rPr>
      </w:pPr>
      <w:bookmarkStart w:id="512" w:name="_Toc480909938"/>
      <w:r>
        <w:rPr>
          <w:rFonts w:hint="eastAsia" w:ascii="宋体" w:hAnsi="宋体" w:cs="宋体"/>
          <w:b w:val="0"/>
          <w:highlight w:val="none"/>
        </w:rPr>
        <w:t>1. 一般约定</w:t>
      </w:r>
      <w:bookmarkEnd w:id="512"/>
    </w:p>
    <w:p w14:paraId="6FC902C1">
      <w:pPr>
        <w:pStyle w:val="4"/>
        <w:spacing w:before="156" w:beforeLines="50"/>
        <w:rPr>
          <w:rFonts w:hint="eastAsia" w:ascii="宋体" w:hAnsi="宋体" w:cs="宋体"/>
          <w:sz w:val="36"/>
          <w:szCs w:val="28"/>
          <w:highlight w:val="none"/>
        </w:rPr>
      </w:pPr>
      <w:bookmarkStart w:id="513" w:name="_Toc480909939"/>
      <w:r>
        <w:rPr>
          <w:rFonts w:hint="eastAsia" w:ascii="宋体" w:hAnsi="宋体" w:cs="宋体"/>
          <w:sz w:val="36"/>
          <w:szCs w:val="28"/>
          <w:highlight w:val="none"/>
        </w:rPr>
        <w:t>1.1 词语定义</w:t>
      </w:r>
      <w:bookmarkEnd w:id="513"/>
    </w:p>
    <w:p w14:paraId="393ACC0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1.1.1.9 其他合同文件</w:t>
      </w:r>
    </w:p>
    <w:p w14:paraId="66D003C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w:t>
      </w:r>
    </w:p>
    <w:p w14:paraId="14000A7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投标文件：是指承包人为完成本合同规定的各项工作，在投标时按招标文件的要求向发包人提交的文件，包括投标函及投标函附录、法定代表人身份证明、授权委托书、联合体协议、投标保证金、价格清单、承包人建议书、承包人实施计划及其它文件。</w:t>
      </w:r>
    </w:p>
    <w:p w14:paraId="02F281B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w:t>
      </w:r>
    </w:p>
    <w:p w14:paraId="496C051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1.1.1.10 图纸：是指包含在合同中的设计图纸，以及由承包人按合同约定提供的经发包人批准的任何补充和修改的图纸，包括配套的说明。</w:t>
      </w:r>
    </w:p>
    <w:p w14:paraId="302AD07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增加以下3项：</w:t>
      </w:r>
    </w:p>
    <w:p w14:paraId="71C1094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1.1.1.11设计：本项目涉及的设计工作。</w:t>
      </w:r>
    </w:p>
    <w:p w14:paraId="45E48A2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1.1.4.5 缺陷责任期：本合同工程缺陷责任期为24个月。</w:t>
      </w:r>
    </w:p>
    <w:p w14:paraId="3F8836D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1.1.4.9 竣工验收：是通过发包人或法定质监部门的验收。</w:t>
      </w:r>
    </w:p>
    <w:p w14:paraId="342E372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w:t>
      </w:r>
    </w:p>
    <w:p w14:paraId="2EC598A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1.1.4.13 单位工程质量验收：按独立的构（建）筑物、机电设备安装、配套工程等进行的质量验收。</w:t>
      </w:r>
    </w:p>
    <w:p w14:paraId="75F79774">
      <w:pPr>
        <w:pStyle w:val="4"/>
        <w:spacing w:before="156" w:beforeLines="50"/>
        <w:rPr>
          <w:rFonts w:hint="eastAsia" w:ascii="宋体" w:hAnsi="宋体" w:cs="宋体"/>
          <w:sz w:val="36"/>
          <w:szCs w:val="28"/>
          <w:highlight w:val="none"/>
        </w:rPr>
      </w:pPr>
      <w:bookmarkStart w:id="514" w:name="_Toc480909940"/>
      <w:r>
        <w:rPr>
          <w:rFonts w:hint="eastAsia" w:ascii="宋体" w:hAnsi="宋体" w:cs="宋体"/>
          <w:sz w:val="36"/>
          <w:szCs w:val="28"/>
          <w:highlight w:val="none"/>
        </w:rPr>
        <w:t>1.3 法律</w:t>
      </w:r>
      <w:bookmarkEnd w:id="514"/>
    </w:p>
    <w:p w14:paraId="72BF1FF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补充以下2目：</w:t>
      </w:r>
    </w:p>
    <w:p w14:paraId="20C0D2F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1.3.1 本合同执行国家、陕西省和西安市现行的施工规范、技术规范、质量标准及操作规定等。</w:t>
      </w:r>
    </w:p>
    <w:p w14:paraId="086DD38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1.3.2 发包人不承担由于承包人违反或不遵守上述法律而导致的罚款和责任。</w:t>
      </w:r>
    </w:p>
    <w:p w14:paraId="377E6DF6">
      <w:pPr>
        <w:pStyle w:val="4"/>
        <w:spacing w:before="156" w:beforeLines="50"/>
        <w:rPr>
          <w:rFonts w:hint="eastAsia" w:ascii="宋体" w:hAnsi="宋体" w:cs="宋体"/>
          <w:sz w:val="36"/>
          <w:szCs w:val="28"/>
          <w:highlight w:val="none"/>
        </w:rPr>
      </w:pPr>
      <w:bookmarkStart w:id="515" w:name="_Toc480909941"/>
      <w:r>
        <w:rPr>
          <w:rFonts w:hint="eastAsia" w:ascii="宋体" w:hAnsi="宋体" w:cs="宋体"/>
          <w:sz w:val="36"/>
          <w:szCs w:val="28"/>
          <w:highlight w:val="none"/>
        </w:rPr>
        <w:t>1.6 文件的提供和照管</w:t>
      </w:r>
      <w:bookmarkEnd w:id="515"/>
    </w:p>
    <w:p w14:paraId="3E6AC44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 xml:space="preserve">1.6.1承包人文件的提供 </w:t>
      </w:r>
    </w:p>
    <w:p w14:paraId="0319D91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增加以下3目：</w:t>
      </w:r>
    </w:p>
    <w:p w14:paraId="7C3E751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1.6.1.1承包人在本工程服务期内需提供的文件</w:t>
      </w:r>
    </w:p>
    <w:p w14:paraId="244C500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 设计的图纸资料</w:t>
      </w:r>
    </w:p>
    <w:p w14:paraId="7EC794A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 产品（材料）说明书</w:t>
      </w:r>
    </w:p>
    <w:p w14:paraId="4AE1FBC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 主要节点维护保养说明书、成套设备及装置的运行维护手册、主要设备组成清单及检修保养手册</w:t>
      </w:r>
    </w:p>
    <w:p w14:paraId="1B9A9FF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 产品（材料）合格证书等其它资料</w:t>
      </w:r>
    </w:p>
    <w:p w14:paraId="48D1B9D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 竣工图</w:t>
      </w:r>
    </w:p>
    <w:p w14:paraId="0614C3E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承包人应负责提供至少八份完整的竣工图，与竣工图内容相同的电子光盘及U盘各一套。</w:t>
      </w:r>
    </w:p>
    <w:p w14:paraId="3DA9DD6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1.6.1.2 承包人所提供的各种技术资料应能满足发包人对设计、安装、运行、维护的要求，如果发包人认为所提供的技术资料不能满足需要时，发包人有权提出补充要求，承包人应免费提供所需的补充资料。</w:t>
      </w:r>
    </w:p>
    <w:p w14:paraId="0902DC6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1.6.1.3 本项目由承包人负责图纸设计。</w:t>
      </w:r>
      <w:bookmarkStart w:id="516" w:name="OLE_LINK4"/>
      <w:r>
        <w:rPr>
          <w:rFonts w:hint="eastAsia" w:ascii="宋体" w:hAnsi="宋体" w:cs="宋体"/>
          <w:sz w:val="22"/>
          <w:highlight w:val="none"/>
        </w:rPr>
        <w:t>承包人免费向发包人提供由承包人设计的施工图纸和其它技术资料十二份，</w:t>
      </w:r>
      <w:r>
        <w:rPr>
          <w:rFonts w:hint="eastAsia" w:ascii="宋体" w:hAnsi="宋体" w:cs="宋体"/>
          <w:sz w:val="21"/>
          <w:szCs w:val="21"/>
          <w:highlight w:val="none"/>
          <w:lang w:val="en-US" w:eastAsia="zh-CN"/>
        </w:rPr>
        <w:t>成果汇报PPT演示文件1份、固态U盘或移动硬盘2套</w:t>
      </w:r>
      <w:r>
        <w:rPr>
          <w:rFonts w:hint="eastAsia" w:ascii="宋体" w:hAnsi="宋体" w:cs="宋体"/>
          <w:sz w:val="22"/>
          <w:highlight w:val="none"/>
        </w:rPr>
        <w:t>。</w:t>
      </w:r>
    </w:p>
    <w:bookmarkEnd w:id="516"/>
    <w:p w14:paraId="0FD48CD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 xml:space="preserve">1.6.4 文件的照管   </w:t>
      </w:r>
    </w:p>
    <w:p w14:paraId="1C45D84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增加以下2目：</w:t>
      </w:r>
    </w:p>
    <w:p w14:paraId="75C79AD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1.6.4.1 承包人应自费购买实施本工程所需要的所有标准或规范，并在工地现场保存完整的一套，以备发包人和监理人查阅。</w:t>
      </w:r>
    </w:p>
    <w:p w14:paraId="1F00AC4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1.6.4.2如果某工程、工艺或工作国内没有相应标准或规范，承包人应在该工程、工艺或工作开始10天前以书面形式报告监理人，并按监理人的指示执行。</w:t>
      </w:r>
    </w:p>
    <w:p w14:paraId="01EC517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增加以下3项：</w:t>
      </w:r>
    </w:p>
    <w:p w14:paraId="7BCF0A8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1.6.5 招标图纸和投标图纸</w:t>
      </w:r>
    </w:p>
    <w:p w14:paraId="31E03D1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⑴ 列入合同的招标图纸仅作为承包人投标报价的参考，不能直接用于施工。</w:t>
      </w:r>
    </w:p>
    <w:p w14:paraId="718B5DE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⑵ 列入合同的投标图纸仅作为发包人选择中标人和在履行合同过程中检验承包人是否按其投标内容进行施工的依据，非经发包人审批，不能直接用于施工。</w:t>
      </w:r>
    </w:p>
    <w:p w14:paraId="65FE6C1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1.6.6 图纸的修改</w:t>
      </w:r>
    </w:p>
    <w:p w14:paraId="67ACF85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图纸需要修改和补充的，应由监理人取得发包人同意后，在该工程或工程相应部位施工前的合理期限内签发图纸修改图给承包人。承包人应按修改后的图纸施工。</w:t>
      </w:r>
    </w:p>
    <w:p w14:paraId="140CAD6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承包人不能以监理人在双方商定的期限内要求多次修改图纸为由，提出除技术标准变化以外的任何索赔。</w:t>
      </w:r>
    </w:p>
    <w:p w14:paraId="4D3F0FF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1.6.7 图纸错误</w:t>
      </w:r>
    </w:p>
    <w:p w14:paraId="44B0C8B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如承包人发现图纸有错误，应及时自费改正，并承担相应修改的费用和工期损失，且应及时通知监理人。</w:t>
      </w:r>
    </w:p>
    <w:p w14:paraId="51C643AF">
      <w:pPr>
        <w:pStyle w:val="4"/>
        <w:spacing w:before="156" w:beforeLines="50"/>
        <w:rPr>
          <w:rFonts w:hint="eastAsia" w:ascii="宋体" w:hAnsi="宋体" w:cs="宋体"/>
          <w:sz w:val="36"/>
          <w:szCs w:val="28"/>
          <w:highlight w:val="none"/>
        </w:rPr>
      </w:pPr>
      <w:bookmarkStart w:id="517" w:name="_Toc480909942"/>
      <w:r>
        <w:rPr>
          <w:rFonts w:hint="eastAsia" w:ascii="宋体" w:hAnsi="宋体" w:cs="宋体"/>
          <w:sz w:val="36"/>
          <w:szCs w:val="28"/>
          <w:highlight w:val="none"/>
        </w:rPr>
        <w:t>1.13发包人要求中的错误</w:t>
      </w:r>
      <w:bookmarkEnd w:id="517"/>
    </w:p>
    <w:p w14:paraId="180A536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修改为：</w:t>
      </w:r>
    </w:p>
    <w:p w14:paraId="0F3A027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承包人应认真阅读、复核发包人要求，发现错误的，应及时书面通知发包人。发包人作相应修改，发包人对这些要求的准确性、充分性和完整性不承担责任。</w:t>
      </w:r>
    </w:p>
    <w:p w14:paraId="18FAE527">
      <w:pPr>
        <w:pStyle w:val="3"/>
        <w:spacing w:before="156" w:beforeLines="50" w:after="0" w:line="360" w:lineRule="auto"/>
        <w:rPr>
          <w:rFonts w:hint="eastAsia" w:ascii="宋体" w:hAnsi="宋体" w:cs="宋体"/>
          <w:b w:val="0"/>
          <w:highlight w:val="none"/>
        </w:rPr>
      </w:pPr>
      <w:bookmarkStart w:id="518" w:name="_Toc480909943"/>
      <w:r>
        <w:rPr>
          <w:rFonts w:hint="eastAsia" w:ascii="宋体" w:hAnsi="宋体" w:cs="宋体"/>
          <w:b w:val="0"/>
          <w:highlight w:val="none"/>
        </w:rPr>
        <w:t>2．发包人义务</w:t>
      </w:r>
      <w:bookmarkEnd w:id="518"/>
    </w:p>
    <w:p w14:paraId="73560606">
      <w:pPr>
        <w:pStyle w:val="4"/>
        <w:spacing w:before="156" w:beforeLines="50"/>
        <w:rPr>
          <w:rFonts w:hint="eastAsia" w:ascii="宋体" w:hAnsi="宋体" w:cs="宋体"/>
          <w:sz w:val="36"/>
          <w:szCs w:val="28"/>
          <w:highlight w:val="none"/>
        </w:rPr>
      </w:pPr>
      <w:bookmarkStart w:id="519" w:name="_Toc480909944"/>
      <w:r>
        <w:rPr>
          <w:rFonts w:hint="eastAsia" w:ascii="宋体" w:hAnsi="宋体" w:cs="宋体"/>
          <w:sz w:val="36"/>
          <w:szCs w:val="28"/>
          <w:highlight w:val="none"/>
        </w:rPr>
        <w:t>2.3 提供施工场地</w:t>
      </w:r>
      <w:bookmarkEnd w:id="519"/>
    </w:p>
    <w:p w14:paraId="1E995CA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负责向承包人提供施工用地，以及提供发包人在招标基准日取得的施工场地内地下管线、和地下设施等有关资料，由承包人负责核实和解释此类资料，发包人对这些资料的准确性、充分性和完整性不承担责任。</w:t>
      </w:r>
    </w:p>
    <w:p w14:paraId="38D98B8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本合同工程的施工用地范围为项目红线范围内的区域。承包人可按此范围布置施工临时工程。在此范围以外的临时用地费用由承包人负责办理有关手续并承担相关费用，发包人给予协助。</w:t>
      </w:r>
    </w:p>
    <w:p w14:paraId="3421C61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发包人有权对施工用地范围作适当的调整，并阶段性提供施工用地。承包人根据交地情况进行施工统筹安排，不得以此为由提出任何怠工及索赔要求。</w:t>
      </w:r>
    </w:p>
    <w:p w14:paraId="7436A1A9">
      <w:pPr>
        <w:adjustRightInd w:val="0"/>
        <w:snapToGrid w:val="0"/>
        <w:spacing w:line="360" w:lineRule="auto"/>
        <w:ind w:firstLine="440" w:firstLineChars="200"/>
        <w:jc w:val="left"/>
        <w:rPr>
          <w:rFonts w:hint="eastAsia" w:ascii="宋体" w:hAnsi="宋体" w:cs="宋体"/>
          <w:sz w:val="22"/>
          <w:szCs w:val="24"/>
          <w:highlight w:val="none"/>
        </w:rPr>
      </w:pPr>
      <w:r>
        <w:rPr>
          <w:rFonts w:hint="eastAsia" w:ascii="宋体" w:hAnsi="宋体" w:cs="宋体"/>
          <w:sz w:val="22"/>
          <w:highlight w:val="none"/>
        </w:rPr>
        <w:t xml:space="preserve"> 增加：建设单位分批次交付建设用地的，单次移交用地具备建设条件后承包人应在合同工期天数内完成相应工程内容。</w:t>
      </w:r>
    </w:p>
    <w:p w14:paraId="2C14041F">
      <w:pPr>
        <w:pStyle w:val="4"/>
        <w:spacing w:before="156" w:beforeLines="50"/>
        <w:rPr>
          <w:rFonts w:hint="eastAsia" w:ascii="宋体" w:hAnsi="宋体" w:cs="宋体"/>
          <w:sz w:val="36"/>
          <w:szCs w:val="28"/>
          <w:highlight w:val="none"/>
        </w:rPr>
      </w:pPr>
      <w:bookmarkStart w:id="520" w:name="_Toc480909945"/>
      <w:r>
        <w:rPr>
          <w:rFonts w:hint="eastAsia" w:ascii="宋体" w:hAnsi="宋体" w:cs="宋体"/>
          <w:sz w:val="36"/>
          <w:szCs w:val="28"/>
          <w:highlight w:val="none"/>
        </w:rPr>
        <w:t>2.4 协助承包人办理证件和批件</w:t>
      </w:r>
      <w:bookmarkEnd w:id="520"/>
    </w:p>
    <w:p w14:paraId="5B72455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增加以下内容：</w:t>
      </w:r>
    </w:p>
    <w:p w14:paraId="36F4208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发包人协助承包人办理工程所需的证件、批件，以及临时用地、停水、停电、中断道路交通等的申批手续，该部分所涉及的费用已包含在合同总价内。</w:t>
      </w:r>
    </w:p>
    <w:p w14:paraId="11FC1518">
      <w:pPr>
        <w:adjustRightInd w:val="0"/>
        <w:snapToGrid w:val="0"/>
        <w:spacing w:line="360" w:lineRule="auto"/>
        <w:ind w:firstLine="440" w:firstLineChars="200"/>
        <w:jc w:val="left"/>
        <w:rPr>
          <w:rFonts w:hint="eastAsia" w:ascii="宋体" w:hAnsi="宋体" w:cs="宋体"/>
          <w:sz w:val="22"/>
          <w:highlight w:val="none"/>
        </w:rPr>
      </w:pPr>
      <w:r>
        <w:rPr>
          <w:rFonts w:hint="eastAsia" w:ascii="宋体" w:hAnsi="宋体" w:cs="宋体"/>
          <w:sz w:val="22"/>
          <w:highlight w:val="none"/>
        </w:rPr>
        <w:t>施工期间协调事项的处理由承包人负责（沿线企事业单位、相关部门、附近村民等影响），积极办理各项手续，费用自理。</w:t>
      </w:r>
    </w:p>
    <w:p w14:paraId="06279211">
      <w:pPr>
        <w:pStyle w:val="4"/>
        <w:spacing w:before="156" w:beforeLines="50"/>
        <w:rPr>
          <w:rFonts w:hint="eastAsia" w:ascii="宋体" w:hAnsi="宋体" w:cs="宋体"/>
          <w:sz w:val="36"/>
          <w:szCs w:val="28"/>
          <w:highlight w:val="none"/>
        </w:rPr>
      </w:pPr>
      <w:bookmarkStart w:id="521" w:name="_Toc480909946"/>
      <w:r>
        <w:rPr>
          <w:rFonts w:hint="eastAsia" w:ascii="宋体" w:hAnsi="宋体" w:cs="宋体"/>
          <w:sz w:val="36"/>
          <w:szCs w:val="28"/>
          <w:highlight w:val="none"/>
        </w:rPr>
        <w:t>2.7 其他义务</w:t>
      </w:r>
      <w:bookmarkEnd w:id="521"/>
    </w:p>
    <w:p w14:paraId="53C8376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增加以下内容：</w:t>
      </w:r>
    </w:p>
    <w:p w14:paraId="4C1ADBE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发包人按约定时间和要求完成以下工作：</w:t>
      </w:r>
    </w:p>
    <w:p w14:paraId="46A7407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（1）施工用电、用水接入点的协调，由承包人自行接入并承担相关费用，承包人应当充分了解工程的特点。</w:t>
      </w:r>
    </w:p>
    <w:p w14:paraId="0C474E9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（2）发包人有权监督承包人针对本工程农民工工资、材料供应商的付款履约情况。并向发包人提供相应的核查资料。</w:t>
      </w:r>
    </w:p>
    <w:p w14:paraId="56C458BD">
      <w:pPr>
        <w:pStyle w:val="3"/>
        <w:spacing w:before="156" w:beforeLines="50" w:after="0" w:line="360" w:lineRule="auto"/>
        <w:rPr>
          <w:rFonts w:hint="eastAsia" w:ascii="宋体" w:hAnsi="宋体" w:cs="宋体"/>
          <w:b w:val="0"/>
          <w:highlight w:val="none"/>
        </w:rPr>
      </w:pPr>
      <w:bookmarkStart w:id="522" w:name="_Toc480909947"/>
      <w:r>
        <w:rPr>
          <w:rFonts w:hint="eastAsia" w:ascii="宋体" w:hAnsi="宋体" w:cs="宋体"/>
          <w:b w:val="0"/>
          <w:highlight w:val="none"/>
        </w:rPr>
        <w:t>3．监理人</w:t>
      </w:r>
      <w:bookmarkEnd w:id="522"/>
    </w:p>
    <w:p w14:paraId="53DE461F">
      <w:pPr>
        <w:pStyle w:val="4"/>
        <w:spacing w:before="156" w:beforeLines="50"/>
        <w:rPr>
          <w:rFonts w:hint="eastAsia" w:ascii="宋体" w:hAnsi="宋体" w:cs="宋体"/>
          <w:sz w:val="36"/>
          <w:szCs w:val="28"/>
          <w:highlight w:val="none"/>
        </w:rPr>
      </w:pPr>
      <w:bookmarkStart w:id="523" w:name="_Toc480909948"/>
      <w:r>
        <w:rPr>
          <w:rFonts w:hint="eastAsia" w:ascii="宋体" w:hAnsi="宋体" w:cs="宋体"/>
          <w:sz w:val="36"/>
          <w:szCs w:val="28"/>
          <w:highlight w:val="none"/>
        </w:rPr>
        <w:t>3.1 监理人的职责和权力</w:t>
      </w:r>
      <w:bookmarkEnd w:id="523"/>
    </w:p>
    <w:p w14:paraId="7E3E5BE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3.1.1监理人在行使下列权力前，必须得到发包人的批准：</w:t>
      </w:r>
    </w:p>
    <w:p w14:paraId="7016130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 按第4.3款规定，批准工程的分包；</w:t>
      </w:r>
    </w:p>
    <w:p w14:paraId="3B62DBA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 按第11.3款规定，确定延长竣工日期；</w:t>
      </w:r>
    </w:p>
    <w:p w14:paraId="60844CF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 按第15.3款规定，所作出的变更决定及变更估价；</w:t>
      </w:r>
    </w:p>
    <w:p w14:paraId="4639436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 所有涉及工程计量、价款结算和调整、工程索赔等须由监理人审核，发包人批准。</w:t>
      </w:r>
    </w:p>
    <w:p w14:paraId="366DCFE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发包人在合同履行期间有权根据具体情况调整监理人须经发包人批准的权力范围并及时通知承包人。</w:t>
      </w:r>
    </w:p>
    <w:p w14:paraId="311A7E2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增加以下2项：</w:t>
      </w:r>
    </w:p>
    <w:p w14:paraId="4E68370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3.1.3 尽管有以上规定，但当监理人认为出现了危及生命、工程或毗邻财产等安全的紧急事件时，在不免除合同规定的承包人责任的情况下，监理人可以指示承包人实施为消除或减少这种危险所必须进行的工作，即使没有发包人的事先批准，承包人也应立即遵照执行。</w:t>
      </w:r>
    </w:p>
    <w:p w14:paraId="2E91276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3.1.4 监理人应公正地履行职责，在按合同要求由监理人发出指示、表示意见、审批文件、确定价格以及采取可能涉及发包人或承包人的义务和权利的行动时，应认真查清事实，并与双方充分协商后作出公正的决定。</w:t>
      </w:r>
    </w:p>
    <w:p w14:paraId="433B1D64">
      <w:pPr>
        <w:pStyle w:val="4"/>
        <w:spacing w:before="156" w:beforeLines="50"/>
        <w:ind w:firstLine="118"/>
        <w:rPr>
          <w:rFonts w:hint="eastAsia" w:ascii="宋体" w:hAnsi="宋体" w:cs="宋体"/>
          <w:sz w:val="36"/>
          <w:szCs w:val="28"/>
          <w:highlight w:val="none"/>
        </w:rPr>
      </w:pPr>
      <w:bookmarkStart w:id="524" w:name="_Toc480909949"/>
      <w:r>
        <w:rPr>
          <w:rFonts w:hint="eastAsia" w:ascii="宋体" w:hAnsi="宋体" w:cs="宋体"/>
          <w:sz w:val="36"/>
          <w:szCs w:val="28"/>
          <w:highlight w:val="none"/>
        </w:rPr>
        <w:t>3.5 商定或确定</w:t>
      </w:r>
      <w:bookmarkEnd w:id="524"/>
    </w:p>
    <w:p w14:paraId="2CCE2E7B">
      <w:pPr>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修改为：</w:t>
      </w:r>
    </w:p>
    <w:p w14:paraId="45B6748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合同约定总监理工程师应按照本款对任何事项进行商定或确定时，总监理工程师应与合同当事人协商，尽量达成一致。不能达成一致的，构成争议，按照第24条的约定处理。</w:t>
      </w:r>
    </w:p>
    <w:p w14:paraId="317123AE">
      <w:pPr>
        <w:pStyle w:val="3"/>
        <w:spacing w:before="156" w:beforeLines="50" w:after="0" w:line="360" w:lineRule="auto"/>
        <w:rPr>
          <w:rFonts w:hint="eastAsia" w:ascii="宋体" w:hAnsi="宋体" w:cs="宋体"/>
          <w:b w:val="0"/>
          <w:highlight w:val="none"/>
        </w:rPr>
      </w:pPr>
      <w:bookmarkStart w:id="525" w:name="_Toc480909950"/>
      <w:r>
        <w:rPr>
          <w:rFonts w:hint="eastAsia" w:ascii="宋体" w:hAnsi="宋体" w:cs="宋体"/>
          <w:b w:val="0"/>
          <w:highlight w:val="none"/>
        </w:rPr>
        <w:t>4．承包人</w:t>
      </w:r>
      <w:bookmarkEnd w:id="525"/>
    </w:p>
    <w:p w14:paraId="7D3AD4FA">
      <w:pPr>
        <w:adjustRightInd w:val="0"/>
        <w:snapToGrid w:val="0"/>
        <w:spacing w:after="120" w:line="360" w:lineRule="auto"/>
        <w:ind w:firstLine="440" w:firstLineChars="200"/>
        <w:rPr>
          <w:rFonts w:hint="eastAsia" w:ascii="宋体" w:hAnsi="宋体" w:cs="宋体"/>
          <w:sz w:val="22"/>
          <w:highlight w:val="none"/>
        </w:rPr>
      </w:pPr>
      <w:r>
        <w:rPr>
          <w:rFonts w:hint="eastAsia" w:ascii="宋体" w:hAnsi="宋体" w:cs="宋体"/>
          <w:sz w:val="22"/>
          <w:highlight w:val="none"/>
        </w:rPr>
        <w:t>4.1.3 完成各项承包工作</w:t>
      </w:r>
    </w:p>
    <w:p w14:paraId="2E47320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增加以下内容：</w:t>
      </w:r>
    </w:p>
    <w:p w14:paraId="16B8304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投标文件拟投入本项目人员配备表配备足够的设计、建设、管理、调试、检验等人员，自行配备满足使用的办公用房、办公车辆和无人机。负责工程建设全过程的管理、组织、协调，按要求控制工程进度、质量、投资，进行安全和文明施工等，以确保工程质量符合国家有关技术标准和本工程要求。</w:t>
      </w:r>
    </w:p>
    <w:p w14:paraId="163C972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当发包人提出要求时</w:t>
      </w:r>
      <w:r>
        <w:rPr>
          <w:rFonts w:hint="eastAsia" w:ascii="宋体" w:hAnsi="宋体" w:cs="宋体"/>
          <w:b/>
          <w:bCs/>
          <w:sz w:val="22"/>
          <w:highlight w:val="none"/>
        </w:rPr>
        <w:t>，</w:t>
      </w:r>
      <w:r>
        <w:rPr>
          <w:rFonts w:hint="eastAsia" w:ascii="宋体" w:hAnsi="宋体" w:cs="宋体"/>
          <w:sz w:val="22"/>
          <w:highlight w:val="none"/>
        </w:rPr>
        <w:t>承包人应提交其建议采用的工程施工安排和方法的细节。事先未通知发包人，对这些安排和方法不得做重要改变。</w:t>
      </w:r>
    </w:p>
    <w:p w14:paraId="72C29E8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关于工程质量、安全严格按照国家标准、行业标准及发包人相关规定执行。需无条件配合完成各类活动及检查工作。</w:t>
      </w:r>
    </w:p>
    <w:p w14:paraId="594A1C4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w:t>
      </w:r>
    </w:p>
    <w:p w14:paraId="3E3FA1D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1、市政府、管委会等上级管理部门提出的工期要求，关键性节点任务的无条件遵照执行。</w:t>
      </w:r>
    </w:p>
    <w:p w14:paraId="6A6DCC1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2、承包人需要无条件配合建设单位接受各级政府的检查和各项活动安排，不再单独考虑费用及工期。 </w:t>
      </w:r>
    </w:p>
    <w:p w14:paraId="31B97C11">
      <w:pPr>
        <w:pStyle w:val="9"/>
        <w:rPr>
          <w:rFonts w:hint="eastAsia" w:ascii="宋体" w:hAnsi="宋体" w:cs="宋体"/>
          <w:sz w:val="28"/>
          <w:szCs w:val="21"/>
          <w:highlight w:val="none"/>
        </w:rPr>
      </w:pPr>
    </w:p>
    <w:p w14:paraId="69D191E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4.1.8 为他人提供方便</w:t>
      </w:r>
    </w:p>
    <w:p w14:paraId="3EB221C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修改为：</w:t>
      </w:r>
    </w:p>
    <w:p w14:paraId="04E84BB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监理人的指示为他人在施工场地或附近实施与工程有关的其他各项工作（如果有）提供可能的条件，可能发生的费用已包含在合同总价中，发包人不再单独支付。如承包人不配合，发包人每次收取违约金50,000元。</w:t>
      </w:r>
    </w:p>
    <w:p w14:paraId="0735264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4.1.10 其他义务</w:t>
      </w:r>
    </w:p>
    <w:p w14:paraId="5318B37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增加以下内容：</w:t>
      </w:r>
    </w:p>
    <w:p w14:paraId="43109FC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承包人应在本合同生效后7天内及时调遣人员和调配施工设备、材料进入工地，按施工总进度要求完成施工准备工作。因承包人不及时进场进行施工准备或不办理相关施工手续，致使开工通知无法正常下达或其它影响工程进展等问题，则合同生效7天后，发包人将按每延误一天向承包人收取5万元/天工期违约金，承包人拖延工期10天，发包人有权解除合同。如因其它原因，开工通知无法正常下达，如现场实际具备施工条件，承包人应部分开工或全部开工。</w:t>
      </w:r>
    </w:p>
    <w:p w14:paraId="24A8A897">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竣工验收时，承包人应从施工现场清除并运出承包人装备、剩余材料、各种临时设施和垃圾等，并保持整个现场及工程整洁，达到发包人认为合格的使用状态，但承包人在现场指定范围内保留为缺陷责任期内履行本身义务所需的材料、装备及临时设施除外。</w:t>
      </w:r>
    </w:p>
    <w:p w14:paraId="5F6E58B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承包人必须按照陕西省劳动和社会保障局、陕西省建设委员会关于陕西省建筑施工企业非城镇户籍从业人员参加综合社会保险工作的通知的规定为非城镇户籍从业人员办理综合保险，劳保统筹。由于承包人未办理此项保险而造成不能开工的，由承包人承担相关责任。</w:t>
      </w:r>
    </w:p>
    <w:p w14:paraId="7203DBA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（4）承包人需配合发包人统筹协调绿化、路灯、信号灯、电力管沟、自来水、热力、中水、天然气等非承包人施工范围内的交叉施工事宜。</w:t>
      </w:r>
    </w:p>
    <w:p w14:paraId="0CEE874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（5）承包人自行接入施工用水、用电并承担相关费用。承包人应采取有效措施确保施工用水，充分考虑工程所在地用水不便、停水、水压偏低等的风险。</w:t>
      </w:r>
    </w:p>
    <w:p w14:paraId="690E580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（6）承包人应对开挖范围进行物探（须委托第三方探测并出具正式成果文件），由于承包人原因造成地下管线和地下设施的破坏及赔偿费用由承包人承担。</w:t>
      </w:r>
    </w:p>
    <w:p w14:paraId="345E99A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（7）承包人自行协调好施工场地外与其他单位和个人的关系，如：协调与当地村委会、街道办事处、城管、国土等行业监管部门及个人等的关系，相关协调费用由承包人承担。</w:t>
      </w:r>
    </w:p>
    <w:p w14:paraId="7E0968D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（8）承包人应向发包人所委托的文物普探等工程相关及相邻单位提供相应的工作面、施工道路及配套服务，费用已包含在合同价款内。</w:t>
      </w:r>
    </w:p>
    <w:p w14:paraId="7A50271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（9）承包人应对发包人提供的设备进行验收、保管，其费用包含在合同总价中。由设备供货方负责的安装工作，有义务对设备供货方提供水、电、道路等措施的使用方便及工作协调配合。</w:t>
      </w:r>
    </w:p>
    <w:p w14:paraId="21BB71D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（10）承包人有义务对设备、材料进行保管、安装、调试、成品保护，其费用含在合同总价中。</w:t>
      </w:r>
    </w:p>
    <w:p w14:paraId="4F99BA2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（11）承包人有义务配合政府在施工期间的拆迁工作，且提供相应工作面及相关便利条件。其发生的费用包含在合同总价中。承包人且应合理调整施工组织，保证实现里程碑工期。</w:t>
      </w:r>
    </w:p>
    <w:p w14:paraId="7B685D3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12）承包人有义务按照相关政策法规及地方要求进行环境、安全、文明施工、职业健康、治污减霾，未按照要求导致的相关部门罚款或其它形式处罚，由承包人自行承担该部分费用及处罚，且发包人有权利对该行为进行处罚，造成严重社会影响的，发包人有权利单方面终止合同且对造成的影响提出索赔。</w:t>
      </w:r>
    </w:p>
    <w:p w14:paraId="78AC92A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（13）承包人有义务自行收集本工程设计及施工所需要的各项技术参数及现场资料。</w:t>
      </w:r>
    </w:p>
    <w:p w14:paraId="37EFCED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（14）承包人有义务在发包人提供的基础资料上，自行补充或完善所需资料，因该事项导致的索赔不予认可。</w:t>
      </w:r>
    </w:p>
    <w:p w14:paraId="781F6D2F">
      <w:pPr>
        <w:pStyle w:val="6"/>
        <w:widowControl/>
        <w:spacing w:line="360" w:lineRule="auto"/>
        <w:ind w:firstLine="440"/>
        <w:rPr>
          <w:rFonts w:hint="eastAsia" w:ascii="宋体" w:hAnsi="宋体" w:cs="宋体"/>
          <w:sz w:val="22"/>
          <w:szCs w:val="22"/>
          <w:highlight w:val="none"/>
        </w:rPr>
      </w:pPr>
      <w:r>
        <w:rPr>
          <w:rFonts w:hint="eastAsia" w:ascii="宋体" w:hAnsi="宋体" w:cs="宋体"/>
          <w:sz w:val="22"/>
          <w:szCs w:val="22"/>
          <w:highlight w:val="none"/>
        </w:rPr>
        <w:t>（15）承包人不得私自对外透漏关于本项目的相关信息。若出现私自透漏的情况，视为承包人违约。</w:t>
      </w:r>
    </w:p>
    <w:p w14:paraId="06DE608C">
      <w:pPr>
        <w:pStyle w:val="6"/>
        <w:widowControl/>
        <w:spacing w:line="360" w:lineRule="auto"/>
        <w:ind w:firstLine="440"/>
        <w:rPr>
          <w:rFonts w:hint="eastAsia" w:ascii="宋体" w:hAnsi="宋体" w:cs="宋体"/>
          <w:sz w:val="22"/>
          <w:szCs w:val="22"/>
          <w:highlight w:val="none"/>
        </w:rPr>
      </w:pPr>
      <w:r>
        <w:rPr>
          <w:rFonts w:hint="eastAsia" w:ascii="宋体" w:hAnsi="宋体" w:cs="宋体"/>
          <w:sz w:val="22"/>
          <w:szCs w:val="22"/>
          <w:highlight w:val="none"/>
        </w:rPr>
        <w:t>（16）市政府、管委会等上级管理部门提出的工期要求及关键性节点任务，承包人积极配合发包人执行。</w:t>
      </w:r>
    </w:p>
    <w:p w14:paraId="0191C45E">
      <w:pPr>
        <w:pStyle w:val="6"/>
        <w:widowControl/>
        <w:spacing w:line="360" w:lineRule="auto"/>
        <w:ind w:firstLine="440"/>
        <w:rPr>
          <w:rFonts w:hint="eastAsia" w:ascii="宋体" w:hAnsi="宋体" w:cs="宋体"/>
          <w:sz w:val="22"/>
          <w:szCs w:val="22"/>
          <w:highlight w:val="none"/>
        </w:rPr>
      </w:pPr>
      <w:r>
        <w:rPr>
          <w:rFonts w:hint="eastAsia" w:ascii="宋体" w:hAnsi="宋体" w:cs="宋体"/>
          <w:sz w:val="22"/>
          <w:szCs w:val="22"/>
          <w:highlight w:val="none"/>
        </w:rPr>
        <w:t>（17）根据上级主管部门要求，具备通行条件的道路，承包人积极配合临时放行，并做好临时放行期间的管理工作。</w:t>
      </w:r>
    </w:p>
    <w:p w14:paraId="27926C46">
      <w:pPr>
        <w:pStyle w:val="4"/>
        <w:spacing w:before="156" w:beforeLines="50"/>
        <w:rPr>
          <w:rFonts w:hint="eastAsia" w:ascii="宋体" w:hAnsi="宋体" w:cs="宋体"/>
          <w:sz w:val="36"/>
          <w:szCs w:val="28"/>
          <w:highlight w:val="none"/>
        </w:rPr>
      </w:pPr>
      <w:bookmarkStart w:id="526" w:name="_Toc480909952"/>
      <w:r>
        <w:rPr>
          <w:rFonts w:hint="eastAsia" w:ascii="宋体" w:hAnsi="宋体" w:cs="宋体"/>
          <w:sz w:val="36"/>
          <w:szCs w:val="28"/>
          <w:highlight w:val="none"/>
        </w:rPr>
        <w:t>4.3 分包</w:t>
      </w:r>
      <w:bookmarkEnd w:id="526"/>
    </w:p>
    <w:p w14:paraId="3CA78AD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增加以下1项：</w:t>
      </w:r>
    </w:p>
    <w:p w14:paraId="49A6CB3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4.3.5 发包人不指定分包人，未经发包人同意，承包人也不得将非主体、非关键性工作分包给第三人。承包人进行专业分包应该得到承包人及监理人对该分包单位资质及工程业绩和综合实力的核准后方可实施。</w:t>
      </w:r>
    </w:p>
    <w:p w14:paraId="75F8EA28">
      <w:pPr>
        <w:pStyle w:val="4"/>
        <w:spacing w:before="156" w:beforeLines="50"/>
        <w:rPr>
          <w:rFonts w:hint="eastAsia" w:ascii="宋体" w:hAnsi="宋体" w:cs="宋体"/>
          <w:sz w:val="36"/>
          <w:szCs w:val="28"/>
          <w:highlight w:val="none"/>
        </w:rPr>
      </w:pPr>
      <w:bookmarkStart w:id="527" w:name="_Toc480909953"/>
      <w:r>
        <w:rPr>
          <w:rFonts w:hint="eastAsia" w:ascii="宋体" w:hAnsi="宋体" w:cs="宋体"/>
          <w:sz w:val="36"/>
          <w:szCs w:val="28"/>
          <w:highlight w:val="none"/>
        </w:rPr>
        <w:t>4.4联合体</w:t>
      </w:r>
      <w:bookmarkEnd w:id="527"/>
    </w:p>
    <w:p w14:paraId="68791C5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增加以下2项：</w:t>
      </w:r>
    </w:p>
    <w:p w14:paraId="3E99114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4.4.4 按联合体协议执行。</w:t>
      </w:r>
    </w:p>
    <w:p w14:paraId="17007F3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4.4.5 投标时联合体协议牵头人如不按发包人相关要求（接到中标通知书后三十日内未签订合同；未按联合体协议要求支付联合体方相关费用导致联合体方向发包人投诉）执行，则发包人有权要求联合体按发包人要求重新确定联合体牵头人。</w:t>
      </w:r>
    </w:p>
    <w:p w14:paraId="7350664A">
      <w:pPr>
        <w:pStyle w:val="4"/>
        <w:spacing w:before="156" w:beforeLines="50"/>
        <w:rPr>
          <w:rFonts w:hint="eastAsia" w:ascii="宋体" w:hAnsi="宋体" w:cs="宋体"/>
          <w:sz w:val="36"/>
          <w:szCs w:val="28"/>
          <w:highlight w:val="none"/>
        </w:rPr>
      </w:pPr>
      <w:bookmarkStart w:id="528" w:name="_Toc480909954"/>
      <w:r>
        <w:rPr>
          <w:rFonts w:hint="eastAsia" w:ascii="宋体" w:hAnsi="宋体" w:cs="宋体"/>
          <w:sz w:val="36"/>
          <w:szCs w:val="28"/>
          <w:highlight w:val="none"/>
        </w:rPr>
        <w:t>4.5 承包人项目经理（项目总负责人）</w:t>
      </w:r>
      <w:bookmarkEnd w:id="528"/>
    </w:p>
    <w:p w14:paraId="49D2765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增加以下1项：</w:t>
      </w:r>
    </w:p>
    <w:p w14:paraId="3D089A7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4.5.5承包人应按投标文件所报名单，委派项目经理（项目总负责人）。如项目经理（项目总负责人）与投标文件中所报不一致，视同承包人违约，发包人有权解除合同。</w:t>
      </w:r>
    </w:p>
    <w:p w14:paraId="7D1A3CD8">
      <w:pPr>
        <w:pStyle w:val="4"/>
        <w:spacing w:before="156" w:beforeLines="50"/>
        <w:rPr>
          <w:rFonts w:hint="eastAsia" w:ascii="宋体" w:hAnsi="宋体" w:cs="宋体"/>
          <w:sz w:val="36"/>
          <w:szCs w:val="28"/>
          <w:highlight w:val="none"/>
        </w:rPr>
      </w:pPr>
      <w:bookmarkStart w:id="529" w:name="_Toc480909955"/>
      <w:r>
        <w:rPr>
          <w:rFonts w:hint="eastAsia" w:ascii="宋体" w:hAnsi="宋体" w:cs="宋体"/>
          <w:sz w:val="36"/>
          <w:szCs w:val="28"/>
          <w:highlight w:val="none"/>
        </w:rPr>
        <w:t>4.6 承包人人员的管理</w:t>
      </w:r>
      <w:bookmarkEnd w:id="529"/>
    </w:p>
    <w:p w14:paraId="3AEBD1F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 xml:space="preserve">4.6.4 增加以下内容： </w:t>
      </w:r>
    </w:p>
    <w:p w14:paraId="7C48B2A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特殊工种（例如：电工、起重工、电焊工、驾驶员等）要经专业培训，并持有合格证上岗；承包人应在按第4.6.1款要求提交的人员情况报告中，说明承包人人员持有上岗资格证明的情况。监理人有权随时检查承包人人员的上岗资格证明。</w:t>
      </w:r>
    </w:p>
    <w:p w14:paraId="5AC3DE6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增加以下4项：</w:t>
      </w:r>
    </w:p>
    <w:p w14:paraId="2928EC1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4.6.6 为完成合同约定的各项工作，承包人应向现场派驻为实施和完成本合同工程及其缺陷的修复而需要的下述人员，所派往本工程的人员条件应与投标文件相符：</w:t>
      </w:r>
    </w:p>
    <w:p w14:paraId="30D0AB2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⑴ 按投标文件中所报名单的各类专业技术人员、质检人员和管理人员。未经监理人的批准，这些人员不应不到位或被替换；若确实无法到位或需替换，需经监理人审核经发包人同意后，用不低于此资质和经历的人员替换；</w:t>
      </w:r>
    </w:p>
    <w:p w14:paraId="7C91663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⑵ 其他满足本合同工程施工需要的技术熟练、经验丰富的各类专业人员、质检人员、管理人员和有能力进行施工管理、并指导作业的工长，以及适应本工程需要的各类熟练技工、半熟练技工和普通工；</w:t>
      </w:r>
    </w:p>
    <w:p w14:paraId="10D17AF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⑶ 配备足够的专职安全员；</w:t>
      </w:r>
    </w:p>
    <w:p w14:paraId="04A8953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⑷ 尽管承包人已按投标文件附表中所列的数量派遣了上述各类人员，但若监理人或发包人认为这些人员仍不足以适应现场施工的需要并不能保证工程质量时，有权要求承包人继续增派或雇用这类人员，并书面通知发包人。承包人在接到上述通知后应立即执行监理人的上述指示，不得无故拖延。</w:t>
      </w:r>
    </w:p>
    <w:p w14:paraId="4F85597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4.6.7 承包人安排在工地的主要管理人员和专业技术骨干应专职在岗，不得兼任其他项目任何职务，如需对人员安排作变更，必须提前一周以书面形式上报监理人，并经发包人同意方可执行。</w:t>
      </w:r>
    </w:p>
    <w:p w14:paraId="1F15A3F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4.6.8 承包人的项目总负责人、设计负责人（设计驻场代表）、施工项目经理、施工技术负责人，应保证及时到位且常驻现场进行本合同工程的管理，并保持其岗位的相对稳定。如果以上人员与合同文件中不符或长期不到位未履行职责，发包人有权要求更换人员，并视承包人违约，按第22.1款承包人违约处理。</w:t>
      </w:r>
    </w:p>
    <w:p w14:paraId="7997C9D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4.6.9 项目经理（项目总负责人）、施工负责人（施工项目经理）、技术负责人离开工地2天及以上应事先征得发包人同意，并委派代表代行其职，同时通知监理人。</w:t>
      </w:r>
    </w:p>
    <w:p w14:paraId="3D5A5E33">
      <w:pPr>
        <w:pStyle w:val="4"/>
        <w:spacing w:before="156" w:beforeLines="50"/>
        <w:rPr>
          <w:rFonts w:hint="eastAsia" w:ascii="宋体" w:hAnsi="宋体" w:cs="宋体"/>
          <w:sz w:val="36"/>
          <w:szCs w:val="28"/>
          <w:highlight w:val="none"/>
        </w:rPr>
      </w:pPr>
      <w:bookmarkStart w:id="530" w:name="_Toc480909956"/>
      <w:r>
        <w:rPr>
          <w:rFonts w:hint="eastAsia" w:ascii="宋体" w:hAnsi="宋体" w:cs="宋体"/>
          <w:sz w:val="36"/>
          <w:szCs w:val="28"/>
          <w:highlight w:val="none"/>
        </w:rPr>
        <w:t>4.7 撤换承包人项目经理（项目总负责人）和其他人员</w:t>
      </w:r>
      <w:bookmarkEnd w:id="530"/>
    </w:p>
    <w:p w14:paraId="3F3F427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增加以下3项：</w:t>
      </w:r>
    </w:p>
    <w:p w14:paraId="0048AE9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4.7.1如果监理人（或发包人）认为已委派的项目经理（项目总负责人）、设计负责人、施工负责人（施工项目经理）、技术负责人、专业技术人员等主要人员的工作能力和业务水平不称职，经发包人同意而需要撤换时，承包人应在接到通知后，尽快撤回原委派的主要人员，同时委派经发包人与监理人同意的新的相应人选，否则将视为承包人违约。</w:t>
      </w:r>
    </w:p>
    <w:p w14:paraId="581C778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4.7.2 除因不可抗力因素外，更换项目经理（项目总负责人）、设计负责人、施工负责人（施工项目经理）、技术负责人，违约约定：1）承包人不得随意更换项目经理（项目总负责人）、设计负责人、施工负责人（施工项目经理）、技术负责人，如需要更换项目经理（项目总负责人）、设计负责人、施工负责人（施工项目经理）、技术负责人，应至少提前30天以书面形式通知发包人，并征得发包人同意，后任继续行使合同文件约定的前任的职权，履行前任的义务，并承担违约金20万元，同时承担5万元/人/次的罚款；2）因擅自更换项目经理（项目总负责人）、设计负责人、施工负责人（施工项目经理）、技术负责人或项目经理（项目总负责人）、设计负责人、施工负责人（施工项目经理）、技术负责人兼职其它项目经理的，发包人有权解除合同，承包人并向发包人支付违约金20万元，同时承担5万元/人/次的罚款；3）项目经理（项目总负责人）、设计负责人、施工负责人（施工项目经理）、技术负责人不胜任本职工作，发包人代表和工程总监可提前15天以书面形式通知承包人更换合格的项目经理（项目总负责人）、设计负责人、施工负责人（施工项目经理）、技术负责人，并承担违约金20万元，同时承担5万元/人/次的罚款；本合同执行过程中，项目经理（项目总负责人）、设计负责人、施工负责人（施工项目经理）、技术负责人只能更换一次，如更换后的项目经理（包括设计负责人）仍旧不能胜任本职工作，发包人有权解除合同。</w:t>
      </w:r>
    </w:p>
    <w:p w14:paraId="6619718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若出现项目经理（项目总负责人）、设计负责人、施工负责人（施工项目经理）、技术负责人未经批准离开工地2天及以上，发包人将按每发现一人次向承包人收取20,000元的违约金，同时承担1000-5000元/人/次罚款。若承包人未经发包人同意，更换了项目经理（项目总负责人）、设计负责人、施工负责人（施工项目经理）、技术负责人，视为违约，按第22.1款承包人违约处理。</w:t>
      </w:r>
    </w:p>
    <w:p w14:paraId="22E2E21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4.7.3出现下列情况，监理人将视其为无法胜任现场工作，并向承包人发出更换现场人员的通知。承包人收到监理人更换现场人员的通知后24小时内，必须按监理人员要求将人员调离本工程管理范围，否则发包人向承包人按5,000元/人/次收取违约金；同时，承包人应在48小时内安排经监理及发包人批准的合格的人员代替上述调离的人员。</w:t>
      </w:r>
    </w:p>
    <w:p w14:paraId="2CAB040E">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 对承包人工程进度及质量达不到合同要求负有责任的施工人员；</w:t>
      </w:r>
    </w:p>
    <w:p w14:paraId="613C0D3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 专业水平达不到岗位要求、工作责任心不强的施工人员；</w:t>
      </w:r>
    </w:p>
    <w:p w14:paraId="07BDC43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 不能积极配合发包人及监理人正常工作的人员；</w:t>
      </w:r>
    </w:p>
    <w:p w14:paraId="4D1E2DB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 违反发包人、监理人或承包人工地现场管理规定的人员；</w:t>
      </w:r>
    </w:p>
    <w:p w14:paraId="4CBCEAA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 无证上岗的人员（适用于按规定必须持证上岗的人员）。</w:t>
      </w:r>
    </w:p>
    <w:p w14:paraId="62C08302">
      <w:pPr>
        <w:pStyle w:val="4"/>
        <w:spacing w:before="156" w:beforeLines="50"/>
        <w:rPr>
          <w:rFonts w:hint="eastAsia" w:ascii="宋体" w:hAnsi="宋体" w:cs="宋体"/>
          <w:sz w:val="36"/>
          <w:szCs w:val="28"/>
          <w:highlight w:val="none"/>
        </w:rPr>
      </w:pPr>
      <w:bookmarkStart w:id="531" w:name="_Toc480909957"/>
      <w:r>
        <w:rPr>
          <w:rFonts w:hint="eastAsia" w:ascii="宋体" w:hAnsi="宋体" w:cs="宋体"/>
          <w:sz w:val="36"/>
          <w:szCs w:val="28"/>
          <w:highlight w:val="none"/>
        </w:rPr>
        <w:t>4.8 保障承包人人员的合法权益</w:t>
      </w:r>
      <w:bookmarkEnd w:id="531"/>
    </w:p>
    <w:p w14:paraId="527907D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4.8.5 增加以下内容：</w:t>
      </w:r>
    </w:p>
    <w:p w14:paraId="192CBE6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必须按照陕西省劳动和社会保障局、陕西省建设厅关于陕西省建筑施工企业非城镇户籍从业人员参加综合社会保险工作的通知的规定为非城镇户籍从业人员办理综合保险，其保险费用包含在合同价中。由于承包人未办理此项保险而造成不能取得《施工许可证》，由承包人承担相关责任。</w:t>
      </w:r>
    </w:p>
    <w:p w14:paraId="7ABCEBD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增加以下3项：</w:t>
      </w:r>
    </w:p>
    <w:p w14:paraId="599BFFB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4.8.7 承包人应执行国家、地方现行的有关农民工工资的管理规定及发包人关于农民工工资的相关管理办法。设立农民工工资保证金专项账户。在发包人按合同相关条款支付工程款的情况下，如发生因承包人拖欠农民工工资导致农民工到政府部门或发包人处索要工资的情况，则每发生1次，按下列上访级别支付违约金(①上访至发包人的，承包人承担违约金5万元；②上访至区级政府相关职能部门的，承包人承担违约金10万元；③上访至市级政府相关职能部门的，承包人承担违约金20万元；④上访至省级政府相关职能部门的，承包人承担违约金50万元)，若发包人代为支付农民工工资，发包人将按所代付农民工工资总金额的5%向承包人收取管理费。</w:t>
      </w:r>
    </w:p>
    <w:p w14:paraId="24473AA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4.8.8遵守法律，足额、按时发放雇用人员的报酬，保证不拖欠工资款。若因劳资纠纷引发投诉或纠纷，促使承包人现场工人前往省、市、区或发包人驻地上访的，承包人无条件在两小时内领回，若收到通知后两小时未到场处理劳资纠纷或上访人员，自愿接受上访至各级政府（单位）违约金的2倍；若承包人在两小时内将上访工人未带回，自愿接受上访至各级政府（单位）违约金的3倍；若出现工人2次上访事件发生，自愿接受上访至各级政府（单位）违约金的4倍；若承包人不去相关政府（单位）领人，自愿接受上访至各级政府（单位）违约金的5倍；同时将计入承包人的企业征信记录并上报陕西省企业信用平台，全市通报。</w:t>
      </w:r>
    </w:p>
    <w:p w14:paraId="13600CD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4.8.9承包人拖欠劳务人员工资问题在新闻媒体曝光，事态严重，给发包人造成声誉影响较大，以至可能诱发社会不稳定因素的，承包人承担违约金100万元，承包人负责消除影响同时，发包人保留进一步追究承包人法律责任的权利。</w:t>
      </w:r>
    </w:p>
    <w:p w14:paraId="45A32C16">
      <w:pPr>
        <w:pStyle w:val="4"/>
        <w:spacing w:before="156" w:beforeLines="50"/>
        <w:rPr>
          <w:rFonts w:hint="eastAsia" w:ascii="宋体" w:hAnsi="宋体" w:cs="宋体"/>
          <w:sz w:val="36"/>
          <w:szCs w:val="28"/>
          <w:highlight w:val="none"/>
        </w:rPr>
      </w:pPr>
      <w:bookmarkStart w:id="532" w:name="_Toc480909958"/>
      <w:r>
        <w:rPr>
          <w:rFonts w:hint="eastAsia" w:ascii="宋体" w:hAnsi="宋体" w:cs="宋体"/>
          <w:sz w:val="36"/>
          <w:szCs w:val="28"/>
          <w:highlight w:val="none"/>
        </w:rPr>
        <w:t>4.9 工程价款应专款专用</w:t>
      </w:r>
      <w:bookmarkEnd w:id="532"/>
    </w:p>
    <w:p w14:paraId="52C0937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承包人应确保发包人支付款项专款用于本工程。</w:t>
      </w:r>
    </w:p>
    <w:p w14:paraId="6E8A5D1F">
      <w:pPr>
        <w:pStyle w:val="4"/>
        <w:spacing w:before="156" w:beforeLines="50"/>
        <w:rPr>
          <w:rFonts w:hint="eastAsia" w:ascii="宋体" w:hAnsi="宋体" w:cs="宋体"/>
          <w:sz w:val="36"/>
          <w:szCs w:val="28"/>
          <w:highlight w:val="none"/>
        </w:rPr>
      </w:pPr>
      <w:bookmarkStart w:id="533" w:name="_Toc480909959"/>
      <w:r>
        <w:rPr>
          <w:rFonts w:hint="eastAsia" w:ascii="宋体" w:hAnsi="宋体" w:cs="宋体"/>
          <w:sz w:val="36"/>
          <w:szCs w:val="28"/>
          <w:highlight w:val="none"/>
        </w:rPr>
        <w:t>4.10</w:t>
      </w:r>
      <w:r>
        <w:rPr>
          <w:rFonts w:hint="eastAsia" w:ascii="宋体" w:hAnsi="宋体" w:cs="宋体"/>
          <w:sz w:val="36"/>
          <w:szCs w:val="36"/>
          <w:highlight w:val="none"/>
        </w:rPr>
        <w:t xml:space="preserve"> </w:t>
      </w:r>
      <w:r>
        <w:rPr>
          <w:rFonts w:hint="eastAsia" w:ascii="宋体" w:hAnsi="宋体" w:cs="宋体"/>
          <w:sz w:val="36"/>
          <w:szCs w:val="28"/>
          <w:highlight w:val="none"/>
        </w:rPr>
        <w:t>承包人现场查勘</w:t>
      </w:r>
      <w:bookmarkEnd w:id="533"/>
    </w:p>
    <w:p w14:paraId="393F45B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4.10.1修改为：</w:t>
      </w:r>
    </w:p>
    <w:p w14:paraId="1064BA0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向承包人提供施工场地及毗邻区域内的供水、排水、供电、供气、供热、通信、广播电视等地下管线资料、气象和水文观测资料，相邻建筑物和构筑物、地下工程的有关资料，以及其他与建设工程有关的原始资料，由承包人负责核实和解释此类资料，发包人对这些资料的准确性、充分性和完整性不承担责任。</w:t>
      </w:r>
    </w:p>
    <w:p w14:paraId="42C05046">
      <w:pPr>
        <w:pStyle w:val="4"/>
        <w:spacing w:before="156" w:beforeLines="50"/>
        <w:rPr>
          <w:rFonts w:hint="eastAsia" w:ascii="宋体" w:hAnsi="宋体" w:cs="宋体"/>
          <w:sz w:val="36"/>
          <w:szCs w:val="28"/>
          <w:highlight w:val="none"/>
        </w:rPr>
      </w:pPr>
      <w:bookmarkStart w:id="534" w:name="_Toc480909960"/>
      <w:r>
        <w:rPr>
          <w:rFonts w:hint="eastAsia" w:ascii="宋体" w:hAnsi="宋体" w:cs="宋体"/>
          <w:sz w:val="36"/>
          <w:szCs w:val="28"/>
          <w:highlight w:val="none"/>
        </w:rPr>
        <w:t>4.11不可预见的困难和费用</w:t>
      </w:r>
      <w:bookmarkEnd w:id="534"/>
    </w:p>
    <w:p w14:paraId="2F7CCC4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修改为：</w:t>
      </w:r>
    </w:p>
    <w:p w14:paraId="47BA784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1 \* GB2 </w:instrText>
      </w:r>
      <w:r>
        <w:rPr>
          <w:rFonts w:hint="eastAsia" w:ascii="宋体" w:hAnsi="宋体" w:cs="宋体"/>
          <w:sz w:val="22"/>
          <w:highlight w:val="none"/>
        </w:rPr>
        <w:fldChar w:fldCharType="separate"/>
      </w:r>
      <w:r>
        <w:rPr>
          <w:rFonts w:hint="eastAsia" w:ascii="宋体" w:hAnsi="宋体" w:cs="宋体"/>
          <w:sz w:val="22"/>
          <w:highlight w:val="none"/>
        </w:rPr>
        <w:t>⑴</w:t>
      </w:r>
      <w:r>
        <w:rPr>
          <w:rFonts w:hint="eastAsia" w:ascii="宋体" w:hAnsi="宋体" w:cs="宋体"/>
          <w:sz w:val="22"/>
          <w:highlight w:val="none"/>
        </w:rPr>
        <w:fldChar w:fldCharType="end"/>
      </w:r>
      <w:r>
        <w:rPr>
          <w:rFonts w:hint="eastAsia" w:ascii="宋体" w:hAnsi="宋体" w:cs="宋体"/>
          <w:sz w:val="22"/>
          <w:highlight w:val="none"/>
        </w:rPr>
        <w:t xml:space="preserve"> 除合同另有说明外，承包人应被认为已取得了对工程可能产生影响和作用的有关风险、意外事件和其他情况的全部必要资料；</w:t>
      </w:r>
    </w:p>
    <w:p w14:paraId="6F42232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2 \* GB2 </w:instrText>
      </w:r>
      <w:r>
        <w:rPr>
          <w:rFonts w:hint="eastAsia" w:ascii="宋体" w:hAnsi="宋体" w:cs="宋体"/>
          <w:sz w:val="22"/>
          <w:highlight w:val="none"/>
        </w:rPr>
        <w:fldChar w:fldCharType="separate"/>
      </w:r>
      <w:r>
        <w:rPr>
          <w:rFonts w:hint="eastAsia" w:ascii="宋体" w:hAnsi="宋体" w:cs="宋体"/>
          <w:sz w:val="22"/>
          <w:highlight w:val="none"/>
        </w:rPr>
        <w:t>⑵</w:t>
      </w:r>
      <w:r>
        <w:rPr>
          <w:rFonts w:hint="eastAsia" w:ascii="宋体" w:hAnsi="宋体" w:cs="宋体"/>
          <w:sz w:val="22"/>
          <w:highlight w:val="none"/>
        </w:rPr>
        <w:fldChar w:fldCharType="end"/>
      </w:r>
      <w:r>
        <w:rPr>
          <w:rFonts w:hint="eastAsia" w:ascii="宋体" w:hAnsi="宋体" w:cs="宋体"/>
          <w:sz w:val="22"/>
          <w:highlight w:val="none"/>
        </w:rPr>
        <w:t xml:space="preserve"> 承包人应被认为充分预见了为完成工程可能遇到的困难，并充分考虑相关费用，该费用应包含在合同价中；</w:t>
      </w:r>
    </w:p>
    <w:p w14:paraId="7B24BD4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3 \* GB2 </w:instrText>
      </w:r>
      <w:r>
        <w:rPr>
          <w:rFonts w:hint="eastAsia" w:ascii="宋体" w:hAnsi="宋体" w:cs="宋体"/>
          <w:sz w:val="22"/>
          <w:highlight w:val="none"/>
        </w:rPr>
        <w:fldChar w:fldCharType="separate"/>
      </w:r>
      <w:r>
        <w:rPr>
          <w:rFonts w:hint="eastAsia" w:ascii="宋体" w:hAnsi="宋体" w:cs="宋体"/>
          <w:sz w:val="22"/>
          <w:highlight w:val="none"/>
        </w:rPr>
        <w:t>⑶</w:t>
      </w:r>
      <w:r>
        <w:rPr>
          <w:rFonts w:hint="eastAsia" w:ascii="宋体" w:hAnsi="宋体" w:cs="宋体"/>
          <w:sz w:val="22"/>
          <w:highlight w:val="none"/>
        </w:rPr>
        <w:fldChar w:fldCharType="end"/>
      </w:r>
      <w:r>
        <w:rPr>
          <w:rFonts w:hint="eastAsia" w:ascii="宋体" w:hAnsi="宋体" w:cs="宋体"/>
          <w:sz w:val="22"/>
          <w:szCs w:val="24"/>
          <w:highlight w:val="none"/>
        </w:rPr>
        <w:t>除合同另有约定外，</w:t>
      </w:r>
      <w:r>
        <w:rPr>
          <w:rFonts w:hint="eastAsia" w:ascii="宋体" w:hAnsi="宋体" w:cs="宋体"/>
          <w:sz w:val="22"/>
          <w:highlight w:val="none"/>
        </w:rPr>
        <w:t>合同价格对任何未预见到的困难和费用不予以调整。</w:t>
      </w:r>
    </w:p>
    <w:p w14:paraId="31CA2F68">
      <w:pPr>
        <w:pStyle w:val="4"/>
        <w:spacing w:before="156" w:beforeLines="50"/>
        <w:ind w:firstLine="118"/>
        <w:rPr>
          <w:rFonts w:hint="eastAsia" w:ascii="宋体" w:hAnsi="宋体" w:cs="宋体"/>
          <w:sz w:val="36"/>
          <w:szCs w:val="28"/>
          <w:highlight w:val="none"/>
        </w:rPr>
      </w:pPr>
      <w:bookmarkStart w:id="535" w:name="_Toc414539999"/>
      <w:bookmarkStart w:id="536" w:name="_Toc480909961"/>
      <w:r>
        <w:rPr>
          <w:rFonts w:hint="eastAsia" w:ascii="宋体" w:hAnsi="宋体" w:cs="宋体"/>
          <w:sz w:val="36"/>
          <w:szCs w:val="28"/>
          <w:highlight w:val="none"/>
        </w:rPr>
        <w:t>5.1 承包人的设计义务</w:t>
      </w:r>
      <w:bookmarkEnd w:id="535"/>
      <w:bookmarkEnd w:id="536"/>
    </w:p>
    <w:p w14:paraId="3C33CFC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w:t>
      </w:r>
    </w:p>
    <w:p w14:paraId="6AF4801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5.1.3 承包人完成设计工作所应遵守的法律规定，以及国家、行业和地方的规范和标准，当上述标准不一致时，非经监理人、发包人批准，则承包人应按更严格的标准或有利于发包人的标准执行。</w:t>
      </w:r>
    </w:p>
    <w:p w14:paraId="0827CF6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5.1.4合同签订后，承包人应在15日之内按发包人的书面要求和评审意见依据初步设计文件完成施工图设计文件的编制，该设计必须获得发包人书面确认；在承包人合同范围的施工图设计完成并经发包人或其授权的工程设计顾问单位（或有）审核后，承包人应配合发包人完成相关规定的各类图纸审查并获得相关建设许可手续，配合发包人办理相关证件。</w:t>
      </w:r>
    </w:p>
    <w:p w14:paraId="3A05D42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5.1.5合同签订后，承包人应立即开始施工图设计工作，</w:t>
      </w:r>
      <w:r>
        <w:rPr>
          <w:rFonts w:hint="eastAsia" w:ascii="宋体" w:hAnsi="宋体" w:cs="宋体"/>
          <w:sz w:val="22"/>
          <w:highlight w:val="none"/>
          <w:u w:val="single"/>
        </w:rPr>
        <w:t>按照发包人给定的概算投资限额、招标文件要求及投标报价进行工程造价限额设计，并按照专用条款16.（5）要求，于施工图审查完成后15日内编制完成施工图预算，报送发包人并配合发包人按照相关程序完成施工图预算评审工作。</w:t>
      </w:r>
    </w:p>
    <w:p w14:paraId="3E68E80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5.1.6在取得项目的建设工程规划许可证与施工许可证之间，承包人可在符合相关规定情况下，进行项目必要准备工程。</w:t>
      </w:r>
    </w:p>
    <w:p w14:paraId="4EBD25B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5.1.7承包人将作为本项目的工程设计的总承包人，负责整个项目工程设计的质量与进度管理，包括但不限于由自己下属的设计分包或设计施工一体化分包所承担的工程设计质量与进度管理。承包人应做好设计交底、不同专业设计方的技术协调、审图、各个设计方进度的协调等。承包人负责的上述工程设计所需的全部费用，已经包含在本项目的合同价款中。</w:t>
      </w:r>
    </w:p>
    <w:p w14:paraId="77DAD53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5.1.8 承包人对本合同内全部内容的工程设计图纸承担质量责任。</w:t>
      </w:r>
    </w:p>
    <w:p w14:paraId="21400C9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5.1.9 因承包人设计图纸之间由于不协调发生专业设计冲突导致的设计变更，承包人均无权向发包人提出此类要求。</w:t>
      </w:r>
    </w:p>
    <w:p w14:paraId="1D49F07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5.1.10 本工程总承包合同的技术文件包括作为合同附件的图纸及相关技术说明，承包人应基于此技术文件编制实施工程所需要的设计图。在施工图完成后，应报送项目的监理人、发包人或其授权的其他咨询单位审批，经审批的图纸才能在现场使用。承包人应对图纸的质量负责，包括因图纸错误引发设计变更的全部责任，不能因图纸已经过监理人、发包人或其授权的中介咨询单位审批而转移、免除或减轻任何责任的承担。</w:t>
      </w:r>
    </w:p>
    <w:p w14:paraId="50FD967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5.1.11经审核确认的施工图，承包人应提供发包人正式施工蓝图12套，与施工图内容相同的电子光盘及U盘各一套。</w:t>
      </w:r>
    </w:p>
    <w:p w14:paraId="50030B8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5.1.12项目竣工后，承包人应提供给发包人正式竣工蓝图至少8套，与竣工图内容相同的电子光盘及U盘各一套。</w:t>
      </w:r>
    </w:p>
    <w:p w14:paraId="6B9A547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5.1.13 承包人对设计资料及文件出现的遗漏或错误负责修改或补充。由于承包人工作错误造成工程质量事故损失，承包人除负责采取补救措施外，应免收错误设计范围内的设计费，并根据损失的程度向甲方支付赔偿金，赔偿金的比例按照工程造价的3％计算，赔偿金最多与免收的设计费金额相等。</w:t>
      </w:r>
    </w:p>
    <w:p w14:paraId="3CF600D8">
      <w:pPr>
        <w:spacing w:line="360" w:lineRule="auto"/>
        <w:ind w:firstLine="440" w:firstLineChars="200"/>
        <w:rPr>
          <w:rFonts w:ascii="宋体" w:hAnsi="宋体" w:cs="宋体"/>
          <w:sz w:val="22"/>
          <w:highlight w:val="none"/>
        </w:rPr>
      </w:pPr>
      <w:r>
        <w:rPr>
          <w:rFonts w:hint="eastAsia" w:ascii="宋体" w:hAnsi="宋体" w:cs="宋体"/>
          <w:sz w:val="22"/>
          <w:highlight w:val="none"/>
        </w:rPr>
        <w:t>5.1.14承包人应派驻一名项目现场常驻设计代表，如无派驻设计代表，每天罚款20000元。</w:t>
      </w:r>
    </w:p>
    <w:p w14:paraId="699CED0B">
      <w:pPr>
        <w:spacing w:line="440" w:lineRule="exact"/>
        <w:ind w:firstLine="440" w:firstLineChars="200"/>
        <w:rPr>
          <w:rFonts w:hint="eastAsia" w:ascii="宋体" w:hAnsi="宋体" w:cs="宋体"/>
          <w:sz w:val="22"/>
          <w:highlight w:val="none"/>
        </w:rPr>
      </w:pPr>
      <w:r>
        <w:rPr>
          <w:rFonts w:hint="eastAsia" w:ascii="宋体" w:hAnsi="宋体" w:cs="宋体"/>
          <w:sz w:val="22"/>
          <w:highlight w:val="none"/>
        </w:rPr>
        <w:t>5.1.15</w:t>
      </w:r>
      <w:r>
        <w:rPr>
          <w:rFonts w:hint="eastAsia" w:ascii="宋体" w:hAnsi="宋体" w:cs="宋体"/>
          <w:sz w:val="22"/>
          <w:highlight w:val="none"/>
          <w:u w:val="single"/>
        </w:rPr>
        <w:t>承包人提供的设计文件不能满足发包人设计、功能、时间、限额设计等要求，在承包人反复修改后，仍不能满足要求的，发包人有权另行委托设计，并向所委托设计人支付设计费用，同时扣除承包人此项设计费用。承包人应对发包人另行委托的专项设计成果交承包人起15日内予以确认，逾期未确认的发包人视为承包人已经确认。由此造成的损失及工期延误由承包人承担</w:t>
      </w:r>
      <w:r>
        <w:rPr>
          <w:rFonts w:hint="eastAsia" w:ascii="宋体" w:hAnsi="宋体" w:cs="宋体"/>
          <w:sz w:val="22"/>
          <w:highlight w:val="none"/>
        </w:rPr>
        <w:t>；</w:t>
      </w:r>
    </w:p>
    <w:p w14:paraId="729665E1">
      <w:pPr>
        <w:spacing w:line="360" w:lineRule="auto"/>
        <w:ind w:firstLine="440" w:firstLineChars="200"/>
        <w:rPr>
          <w:rFonts w:hint="eastAsia" w:ascii="宋体" w:hAnsi="宋体" w:cs="宋体"/>
          <w:sz w:val="22"/>
          <w:highlight w:val="none"/>
        </w:rPr>
      </w:pPr>
    </w:p>
    <w:p w14:paraId="5F781360">
      <w:pPr>
        <w:pStyle w:val="4"/>
        <w:spacing w:before="156" w:beforeLines="50"/>
        <w:rPr>
          <w:rFonts w:hint="eastAsia" w:ascii="宋体" w:hAnsi="宋体" w:cs="宋体"/>
          <w:sz w:val="36"/>
          <w:szCs w:val="22"/>
          <w:highlight w:val="none"/>
        </w:rPr>
      </w:pPr>
      <w:bookmarkStart w:id="537" w:name="_Toc480909962"/>
      <w:r>
        <w:rPr>
          <w:rFonts w:hint="eastAsia" w:ascii="宋体" w:hAnsi="宋体" w:cs="宋体"/>
          <w:sz w:val="36"/>
          <w:szCs w:val="22"/>
          <w:highlight w:val="none"/>
        </w:rPr>
        <w:t>5.3</w:t>
      </w:r>
      <w:r>
        <w:rPr>
          <w:rFonts w:hint="eastAsia" w:ascii="宋体" w:hAnsi="宋体" w:cs="宋体"/>
          <w:sz w:val="36"/>
          <w:szCs w:val="28"/>
          <w:highlight w:val="none"/>
        </w:rPr>
        <w:t xml:space="preserve"> 设计审查</w:t>
      </w:r>
      <w:bookmarkEnd w:id="537"/>
    </w:p>
    <w:p w14:paraId="399E2DD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w:t>
      </w:r>
    </w:p>
    <w:p w14:paraId="5A931F42">
      <w:pPr>
        <w:numPr>
          <w:ilvl w:val="0"/>
          <w:numId w:val="3"/>
        </w:num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发包人对承包人报送的图纸有审查的权利，相关费用由发包人负责。</w:t>
      </w:r>
    </w:p>
    <w:p w14:paraId="0629710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2、本合同设计费用包含过程及最终图纸材料制作费、各阶段汇报、施工图技术交底、施工图会审、专家评审费、报告费、会议费、税费等相关费用。</w:t>
      </w:r>
    </w:p>
    <w:p w14:paraId="512339AF">
      <w:pPr>
        <w:adjustRightInd w:val="0"/>
        <w:snapToGrid w:val="0"/>
        <w:spacing w:line="360" w:lineRule="auto"/>
        <w:rPr>
          <w:rFonts w:hint="eastAsia" w:ascii="宋体" w:hAnsi="宋体" w:cs="宋体"/>
          <w:sz w:val="22"/>
          <w:highlight w:val="none"/>
        </w:rPr>
      </w:pPr>
    </w:p>
    <w:p w14:paraId="35D7B702">
      <w:pPr>
        <w:pStyle w:val="3"/>
        <w:spacing w:before="156" w:beforeLines="50" w:after="0" w:line="360" w:lineRule="auto"/>
        <w:rPr>
          <w:rFonts w:hint="eastAsia" w:ascii="宋体" w:hAnsi="宋体" w:cs="宋体"/>
          <w:b w:val="0"/>
          <w:highlight w:val="none"/>
        </w:rPr>
      </w:pPr>
      <w:bookmarkStart w:id="538" w:name="_Toc480909963"/>
      <w:r>
        <w:rPr>
          <w:rFonts w:hint="eastAsia" w:ascii="宋体" w:hAnsi="宋体" w:cs="宋体"/>
          <w:b w:val="0"/>
          <w:highlight w:val="none"/>
        </w:rPr>
        <w:t>6．材料和工程设备</w:t>
      </w:r>
      <w:bookmarkEnd w:id="538"/>
    </w:p>
    <w:p w14:paraId="68D19F2C">
      <w:pPr>
        <w:pStyle w:val="4"/>
        <w:spacing w:before="156" w:beforeLines="50"/>
        <w:rPr>
          <w:rFonts w:hint="eastAsia" w:ascii="宋体" w:hAnsi="宋体" w:cs="宋体"/>
          <w:sz w:val="36"/>
          <w:szCs w:val="28"/>
          <w:highlight w:val="none"/>
        </w:rPr>
      </w:pPr>
      <w:bookmarkStart w:id="539" w:name="_Toc480909964"/>
      <w:r>
        <w:rPr>
          <w:rFonts w:hint="eastAsia" w:ascii="宋体" w:hAnsi="宋体" w:cs="宋体"/>
          <w:sz w:val="36"/>
          <w:szCs w:val="28"/>
          <w:highlight w:val="none"/>
        </w:rPr>
        <w:t>6.1 承包人提供的材料和工程设备</w:t>
      </w:r>
      <w:bookmarkEnd w:id="539"/>
    </w:p>
    <w:p w14:paraId="2D683DCB">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6.1.2 增加以下内容：</w:t>
      </w:r>
    </w:p>
    <w:p w14:paraId="7552368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承包人应在每个月的20日之前将下月承包人所需材料的采购计划（包括材料品种、数量和采购时间）以书面形式提交给监理人审批。由于承包人未按时提供材料采购计划而造成的一切后果均应由承包人自行承担。</w:t>
      </w:r>
    </w:p>
    <w:p w14:paraId="61E7F68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增加以下2项：</w:t>
      </w:r>
    </w:p>
    <w:p w14:paraId="47F9C97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6.1.4 发包人或监理人发现承包人使用不合格或未经批准的材料，每发现1次，承包人将向发包人支付1万至5万元的违约金。</w:t>
      </w:r>
    </w:p>
    <w:p w14:paraId="0A9559F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6.1.5若承包人在投标文件的技术偏差表中未提出偏差，无论投标文件中是否完全响应招标文件要求，承包人应保证合同设备的数量、质量、工艺、设计、规范、型式及技术性能，完全满足技术标准和要求。</w:t>
      </w:r>
    </w:p>
    <w:p w14:paraId="0A9EC188">
      <w:pPr>
        <w:adjustRightInd w:val="0"/>
        <w:snapToGrid w:val="0"/>
        <w:spacing w:line="360" w:lineRule="auto"/>
        <w:ind w:firstLine="440" w:firstLineChars="200"/>
        <w:rPr>
          <w:rFonts w:hint="eastAsia" w:ascii="宋体" w:hAnsi="宋体" w:eastAsia="宋体" w:cs="宋体"/>
          <w:sz w:val="22"/>
          <w:highlight w:val="none"/>
        </w:rPr>
      </w:pPr>
      <w:r>
        <w:rPr>
          <w:rFonts w:hint="eastAsia" w:ascii="宋体" w:hAnsi="宋体" w:eastAsia="宋体" w:cs="宋体"/>
          <w:sz w:val="22"/>
          <w:highlight w:val="none"/>
        </w:rPr>
        <w:t>6.1.6（1）批量采购前需经发包人和监理人、承包人三方根据封样或产品品牌、规格、技术参数等指标确定采购对象；（2）进场前要经过甲方现场和监理认可；（3）使用前要经过监理人和甲方签书面确认书。</w:t>
      </w:r>
    </w:p>
    <w:p w14:paraId="28A023FF">
      <w:pPr>
        <w:pStyle w:val="3"/>
        <w:spacing w:before="156" w:beforeLines="50" w:after="0" w:line="360" w:lineRule="auto"/>
        <w:rPr>
          <w:rFonts w:hint="eastAsia" w:ascii="宋体" w:hAnsi="宋体" w:cs="宋体"/>
          <w:b w:val="0"/>
          <w:bCs w:val="0"/>
          <w:highlight w:val="none"/>
        </w:rPr>
      </w:pPr>
      <w:bookmarkStart w:id="540" w:name="_Toc480909965"/>
      <w:r>
        <w:rPr>
          <w:rFonts w:hint="eastAsia" w:ascii="宋体" w:hAnsi="宋体" w:cs="宋体"/>
          <w:b w:val="0"/>
          <w:bCs w:val="0"/>
          <w:highlight w:val="none"/>
        </w:rPr>
        <w:t>7．施工设备和临时设施</w:t>
      </w:r>
      <w:bookmarkEnd w:id="540"/>
    </w:p>
    <w:p w14:paraId="31FBDD50">
      <w:pPr>
        <w:pStyle w:val="4"/>
        <w:spacing w:before="156" w:beforeLines="50"/>
        <w:rPr>
          <w:rFonts w:hint="eastAsia" w:ascii="宋体" w:hAnsi="宋体" w:cs="宋体"/>
          <w:sz w:val="36"/>
          <w:szCs w:val="28"/>
          <w:highlight w:val="none"/>
        </w:rPr>
      </w:pPr>
      <w:bookmarkStart w:id="541" w:name="_Toc480909966"/>
      <w:r>
        <w:rPr>
          <w:rFonts w:hint="eastAsia" w:ascii="宋体" w:hAnsi="宋体" w:cs="宋体"/>
          <w:sz w:val="36"/>
          <w:szCs w:val="28"/>
          <w:highlight w:val="none"/>
        </w:rPr>
        <w:t>7.1 承包人提供的施工设备和临时设施</w:t>
      </w:r>
      <w:bookmarkEnd w:id="541"/>
    </w:p>
    <w:p w14:paraId="21F3D09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7.1.1</w:t>
      </w:r>
      <w:r>
        <w:rPr>
          <w:rFonts w:hint="eastAsia" w:ascii="宋体" w:hAnsi="宋体" w:cs="宋体"/>
          <w:b/>
          <w:sz w:val="22"/>
          <w:highlight w:val="none"/>
        </w:rPr>
        <w:t xml:space="preserve"> </w:t>
      </w:r>
      <w:r>
        <w:rPr>
          <w:rFonts w:hint="eastAsia" w:ascii="宋体" w:hAnsi="宋体" w:cs="宋体"/>
          <w:sz w:val="22"/>
          <w:highlight w:val="none"/>
        </w:rPr>
        <w:t>增加以下内容：</w:t>
      </w:r>
    </w:p>
    <w:p w14:paraId="572FCD2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经批准的施工方案（或经批准的施工组织设计）中的型号、规格、数量和时间向现场调遣或租用主要施工机械及材料试验、测量、质检仪器设备，不得拖延、短缺或任意更换，否则视为承包人违约，承包人向发包人支付5,000元/次的违约金。</w:t>
      </w:r>
    </w:p>
    <w:p w14:paraId="466096A2">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按发包人或监理人的要求配备独立的施工机械设备，如不能按发包人或监理人要求配置，施工机械相互调配而引起的工期延误，按承包人所导致的工期延误处罚。发包人如认为承包人所配置施工机械设备不能满足施工要求，可视配置情况出具罚单5,000元/次。</w:t>
      </w:r>
    </w:p>
    <w:p w14:paraId="68E86997">
      <w:pPr>
        <w:pStyle w:val="4"/>
        <w:spacing w:before="156" w:beforeLines="50"/>
        <w:rPr>
          <w:rFonts w:hint="eastAsia" w:ascii="宋体" w:hAnsi="宋体" w:cs="宋体"/>
          <w:sz w:val="36"/>
          <w:szCs w:val="28"/>
          <w:highlight w:val="none"/>
        </w:rPr>
      </w:pPr>
      <w:bookmarkStart w:id="542" w:name="_Toc480909967"/>
      <w:r>
        <w:rPr>
          <w:rFonts w:hint="eastAsia" w:ascii="宋体" w:hAnsi="宋体" w:cs="宋体"/>
          <w:sz w:val="36"/>
          <w:szCs w:val="28"/>
          <w:highlight w:val="none"/>
        </w:rPr>
        <w:t>7.2 发包人提供的施工设备和临时设施</w:t>
      </w:r>
      <w:bookmarkEnd w:id="542"/>
    </w:p>
    <w:p w14:paraId="3E5828D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发包人不提供施工设备或临时设施。</w:t>
      </w:r>
    </w:p>
    <w:p w14:paraId="0AE56156">
      <w:pPr>
        <w:pStyle w:val="3"/>
        <w:spacing w:before="156" w:beforeLines="50" w:after="0" w:line="360" w:lineRule="auto"/>
        <w:rPr>
          <w:rFonts w:hint="eastAsia" w:ascii="宋体" w:hAnsi="宋体" w:cs="宋体"/>
          <w:b w:val="0"/>
          <w:highlight w:val="none"/>
        </w:rPr>
      </w:pPr>
      <w:bookmarkStart w:id="543" w:name="_Toc480909968"/>
      <w:r>
        <w:rPr>
          <w:rFonts w:hint="eastAsia" w:ascii="宋体" w:hAnsi="宋体" w:cs="宋体"/>
          <w:b w:val="0"/>
          <w:highlight w:val="none"/>
        </w:rPr>
        <w:t>8．交通运输</w:t>
      </w:r>
      <w:bookmarkEnd w:id="543"/>
    </w:p>
    <w:p w14:paraId="4C50EA4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增加以下1款：</w:t>
      </w:r>
    </w:p>
    <w:p w14:paraId="5381E5AC">
      <w:pPr>
        <w:pStyle w:val="4"/>
        <w:spacing w:before="156" w:beforeLines="50"/>
        <w:rPr>
          <w:rFonts w:hint="eastAsia" w:ascii="宋体" w:hAnsi="宋体" w:cs="宋体"/>
          <w:sz w:val="36"/>
          <w:szCs w:val="28"/>
          <w:highlight w:val="none"/>
        </w:rPr>
      </w:pPr>
      <w:bookmarkStart w:id="544" w:name="_Toc480909969"/>
      <w:r>
        <w:rPr>
          <w:rFonts w:hint="eastAsia" w:ascii="宋体" w:hAnsi="宋体" w:cs="宋体"/>
          <w:sz w:val="36"/>
          <w:szCs w:val="28"/>
          <w:highlight w:val="none"/>
        </w:rPr>
        <w:t>8.7 其它</w:t>
      </w:r>
      <w:bookmarkEnd w:id="544"/>
    </w:p>
    <w:p w14:paraId="32B3412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8.7.1承包人为实施和完成本合同工程及缺陷修复工作中一切施工作业所需的施工场内的道路、桥梁、施工临时道路（由承包人自行修建）和社会通道等由承包人负责养护和恢复，破坏的部分应由承包人修复至原有的等级和通行要求，由此引起的一切费用自理，并应保证发包人免于承担因上述临时道路的使用所引起的补偿费、诉讼费、损害赔偿、指控费及其它开支。利用原有道路或利用原有道路改、扩建后使用的所有临时道路和桥梁应在工程完工后恢复原有的等级和通行要求；为施工而开辟的临时施工道路，工程完工后应恢复原状，由此引起的一切费用均由承包人自行承担，如果承包人拒不承担，发包人将另雇人员进行上述恢复，所发生的费用由发包人从应付承包人的任何款项内扣除。</w:t>
      </w:r>
    </w:p>
    <w:p w14:paraId="7404C27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8.7.2承包人修建的临时道路应免费提供发包人、监理人和发包人指定的第三方使用。</w:t>
      </w:r>
    </w:p>
    <w:p w14:paraId="6A653605">
      <w:pPr>
        <w:pStyle w:val="3"/>
        <w:spacing w:before="156" w:beforeLines="50" w:after="0" w:line="360" w:lineRule="auto"/>
        <w:rPr>
          <w:rFonts w:hint="eastAsia" w:ascii="宋体" w:hAnsi="宋体" w:cs="宋体"/>
          <w:b w:val="0"/>
          <w:highlight w:val="none"/>
        </w:rPr>
      </w:pPr>
      <w:bookmarkStart w:id="545" w:name="_Toc480909970"/>
      <w:r>
        <w:rPr>
          <w:rFonts w:hint="eastAsia" w:ascii="宋体" w:hAnsi="宋体" w:cs="宋体"/>
          <w:b w:val="0"/>
          <w:highlight w:val="none"/>
        </w:rPr>
        <w:t>9. 测量放线</w:t>
      </w:r>
      <w:bookmarkEnd w:id="545"/>
    </w:p>
    <w:p w14:paraId="6EACDDC1">
      <w:pPr>
        <w:pStyle w:val="4"/>
        <w:spacing w:before="156" w:beforeLines="50"/>
        <w:rPr>
          <w:rFonts w:hint="eastAsia" w:ascii="宋体" w:hAnsi="宋体" w:cs="宋体"/>
          <w:sz w:val="36"/>
          <w:szCs w:val="28"/>
          <w:highlight w:val="none"/>
        </w:rPr>
      </w:pPr>
      <w:bookmarkStart w:id="546" w:name="_Toc480909972"/>
      <w:r>
        <w:rPr>
          <w:rFonts w:hint="eastAsia" w:ascii="宋体" w:hAnsi="宋体" w:cs="宋体"/>
          <w:sz w:val="36"/>
          <w:szCs w:val="28"/>
          <w:highlight w:val="none"/>
        </w:rPr>
        <w:t>9.3 基础资料错误的责任</w:t>
      </w:r>
      <w:bookmarkEnd w:id="546"/>
    </w:p>
    <w:p w14:paraId="7DEAA52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修改为：</w:t>
      </w:r>
    </w:p>
    <w:p w14:paraId="5903A5E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基础资料错误的责任</w:t>
      </w:r>
    </w:p>
    <w:p w14:paraId="2B33066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发包人应提供本工程中规定的原始基准点、基准线和基准标高，承包人对其准确性进行复核并负责。承包人应根据经复核后的本工程中规定的原始基准点、基准线和基准标高，给工程放线。</w:t>
      </w:r>
    </w:p>
    <w:p w14:paraId="10E65F7F">
      <w:pPr>
        <w:pStyle w:val="3"/>
        <w:spacing w:before="156" w:beforeLines="50" w:after="0" w:line="360" w:lineRule="auto"/>
        <w:rPr>
          <w:rFonts w:hint="eastAsia" w:ascii="宋体" w:hAnsi="宋体" w:cs="宋体"/>
          <w:b w:val="0"/>
          <w:bCs w:val="0"/>
          <w:sz w:val="32"/>
          <w:szCs w:val="32"/>
          <w:highlight w:val="none"/>
        </w:rPr>
      </w:pPr>
      <w:bookmarkStart w:id="547" w:name="_Toc480909974"/>
      <w:r>
        <w:rPr>
          <w:rFonts w:hint="eastAsia" w:ascii="宋体" w:hAnsi="宋体" w:cs="宋体"/>
          <w:b w:val="0"/>
          <w:bCs w:val="0"/>
          <w:sz w:val="32"/>
          <w:szCs w:val="32"/>
          <w:highlight w:val="none"/>
        </w:rPr>
        <w:t>10．施工安全、治安保卫和环境保护</w:t>
      </w:r>
      <w:bookmarkEnd w:id="547"/>
    </w:p>
    <w:p w14:paraId="5759AB5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10.2.1 修改为：承包人应按合同约定履行安全职责，执行监理人有关安全工作的指示，并接到开工通知7日内，按合同约定的安全工作内容，编制施工安全措施计划报送监理人审批。</w:t>
      </w:r>
    </w:p>
    <w:p w14:paraId="35F23B33">
      <w:pPr>
        <w:pStyle w:val="4"/>
        <w:spacing w:before="156" w:beforeLines="50"/>
        <w:rPr>
          <w:rFonts w:hint="eastAsia" w:ascii="宋体" w:hAnsi="宋体" w:cs="宋体"/>
          <w:sz w:val="36"/>
          <w:szCs w:val="28"/>
          <w:highlight w:val="none"/>
        </w:rPr>
      </w:pPr>
      <w:bookmarkStart w:id="548" w:name="_Toc480909975"/>
      <w:r>
        <w:rPr>
          <w:rFonts w:hint="eastAsia" w:ascii="宋体" w:hAnsi="宋体" w:cs="宋体"/>
          <w:sz w:val="36"/>
          <w:szCs w:val="28"/>
          <w:highlight w:val="none"/>
        </w:rPr>
        <w:t>10.4 环境保护</w:t>
      </w:r>
      <w:bookmarkEnd w:id="548"/>
    </w:p>
    <w:p w14:paraId="3C2033D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增加以下4项：</w:t>
      </w:r>
    </w:p>
    <w:p w14:paraId="565B907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10.4.4 施工场地周围地下管线和邻近建筑物、构筑物（含文物保护建筑）、古树名木的保护要求及费用承担：承包人被认为在递交投标文件之前，已进行了现场考察，对现场和其周围环境以及可得到的有关资料进行了查看和核查，承包人已取得可能对投标有影响或起作用的风险、意外等必要资料。承包人应采取一切合理的措施，保护施工场地内外环境，并防止由于其作业方法导致的污染、噪音或其它原因造成的对周围地下管线和邻近建筑物、构筑物（文物保护建筑）、古树名木等的伤害和受损。该项按常规进行的保护工程费用已含在报价中不再另行支付，但重大文物建筑保护、古树名木的特殊保护所发生的费用按实际发生并经监理人核实数量，据实结算，由发包人承担。</w:t>
      </w:r>
    </w:p>
    <w:p w14:paraId="5C6D37B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10.4.5 承包人在夜间施工应遵循相关规定。若承包人违反有关安全文明施工、扬尘治理的有关规定，每发现一次，发包人对承包人收取50,000元的违约金，情节严重的，发包人有权终止合同。</w:t>
      </w:r>
    </w:p>
    <w:p w14:paraId="5CE772B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10.4.6 承包人应保持施工区和生活区的环境卫生，及时清除垃圾和废弃物，并运至指定的地点堆放和处理。进入现场的材料、设备必须置放有序，防止任意堆放器材、杂物阻塞工作场地周围的通道和破坏环境。</w:t>
      </w:r>
    </w:p>
    <w:p w14:paraId="0E3E3AF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10.4.7废气排放、噪音超标、固体废物排放、危险废物排放等施工期间排污、建筑垃圾处置等承包人应按国家及地方相关部门要求进行排放和处理，该部分费用含在合同总价内。</w:t>
      </w:r>
    </w:p>
    <w:p w14:paraId="233D201E">
      <w:pPr>
        <w:pStyle w:val="4"/>
        <w:spacing w:before="156" w:beforeLines="50"/>
        <w:rPr>
          <w:rFonts w:hint="eastAsia" w:ascii="宋体" w:hAnsi="宋体" w:cs="宋体"/>
          <w:sz w:val="36"/>
          <w:szCs w:val="28"/>
          <w:highlight w:val="none"/>
        </w:rPr>
      </w:pPr>
      <w:bookmarkStart w:id="549" w:name="_Toc480909976"/>
      <w:r>
        <w:rPr>
          <w:rFonts w:hint="eastAsia" w:ascii="宋体" w:hAnsi="宋体" w:cs="宋体"/>
          <w:sz w:val="36"/>
          <w:szCs w:val="28"/>
          <w:highlight w:val="none"/>
        </w:rPr>
        <w:t>10.5 事故处理</w:t>
      </w:r>
      <w:bookmarkEnd w:id="549"/>
    </w:p>
    <w:p w14:paraId="0D4B781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增加以下6项：</w:t>
      </w:r>
    </w:p>
    <w:p w14:paraId="0C26598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10.5.1 人员工伤事故</w:t>
      </w:r>
    </w:p>
    <w:p w14:paraId="76C6733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⑴ 承包人应为其执行本合同所雇用的全部人员（包括分包人的人员）承担工伤事故责任。承包人可要求其分包人自行承担自己雇用人员的工伤事故责任，但发包人只向承包人追索其工伤事故责任。</w:t>
      </w:r>
    </w:p>
    <w:p w14:paraId="42A7DB1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⑵ 发包人应为其现场机构雇用的全部人员承担工伤事故责任，但由于承包人过失造成在承包人责任区内工作的发包人的人员伤亡</w:t>
      </w:r>
      <w:r>
        <w:rPr>
          <w:rFonts w:hint="eastAsia" w:ascii="宋体" w:hAnsi="宋体" w:cs="宋体"/>
          <w:sz w:val="24"/>
          <w:szCs w:val="24"/>
          <w:highlight w:val="none"/>
        </w:rPr>
        <w:t>（包含监理）</w:t>
      </w:r>
      <w:r>
        <w:rPr>
          <w:rFonts w:hint="eastAsia" w:ascii="宋体" w:hAnsi="宋体" w:cs="宋体"/>
          <w:sz w:val="22"/>
          <w:highlight w:val="none"/>
        </w:rPr>
        <w:t>，则应由承包人承担其工伤事故责任。</w:t>
      </w:r>
    </w:p>
    <w:p w14:paraId="0FA3C81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10.5.2 人员工伤事故的赔偿</w:t>
      </w:r>
    </w:p>
    <w:p w14:paraId="3CF2F9F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发包人和承包人应根据有关法律、法规和规章的规定，对工伤事故造成的伤亡按其各自的责任进行赔偿。其赔偿费用的范围应包括人员伤亡和财产损失的赔偿、诉讼和其它有关费用。</w:t>
      </w:r>
    </w:p>
    <w:p w14:paraId="10A85FE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10.5.3 人身和财产的损失</w:t>
      </w:r>
    </w:p>
    <w:p w14:paraId="71C3808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承包人应负责赔偿由于承包人的责任造成在其管辖区内发包人和承包人以及第三者人员的人身伤害和财产损失。</w:t>
      </w:r>
    </w:p>
    <w:p w14:paraId="664449D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上述赔偿费用应包括人身伤害和财产损失的赔偿费、诉讼费和其它有关费用。</w:t>
      </w:r>
    </w:p>
    <w:p w14:paraId="03260C2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10.5.4 重大事故</w:t>
      </w:r>
    </w:p>
    <w:p w14:paraId="794A3C4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发生重大伤亡及其他安全事故，承包人应按有关规定立即上报政府有关部门并通知监理人，同时按政府有关部门要求处理，由事故责任方承担发生的费用。</w:t>
      </w:r>
    </w:p>
    <w:p w14:paraId="06974B5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10.5.5 事故争议</w:t>
      </w:r>
    </w:p>
    <w:p w14:paraId="4DE2C45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发包人与承包人对事故责任有争议时，应按政府有关部门的认定处理。</w:t>
      </w:r>
    </w:p>
    <w:p w14:paraId="1E2D240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10.5.6 事故处理</w:t>
      </w:r>
    </w:p>
    <w:p w14:paraId="483F3A3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安全目标为无死亡事故，工伤频率控制在西安市建筑施工安全管理规定的指标要求范围内。若发生工伤事故，除按照国家规定的有关违约处罚并独立承担由此造成的经济损失外，同时承担发包人经济处罚（一般事故处罚100000-200000元，较大事故处罚200000-500000元，重大事故处罚500000-2000000元，特大事故处罚2000000-5000000元）并承担相关的直接、间接经济损失以及法律责任。</w:t>
      </w:r>
    </w:p>
    <w:p w14:paraId="5981F718">
      <w:pPr>
        <w:pStyle w:val="4"/>
        <w:spacing w:before="156" w:beforeLines="50"/>
        <w:rPr>
          <w:rFonts w:hint="eastAsia" w:ascii="宋体" w:hAnsi="宋体" w:cs="宋体"/>
          <w:sz w:val="36"/>
          <w:szCs w:val="28"/>
          <w:highlight w:val="none"/>
        </w:rPr>
      </w:pPr>
      <w:bookmarkStart w:id="550" w:name="_Toc480909977"/>
      <w:r>
        <w:rPr>
          <w:rFonts w:hint="eastAsia" w:ascii="宋体" w:hAnsi="宋体" w:cs="宋体"/>
          <w:sz w:val="36"/>
          <w:szCs w:val="28"/>
          <w:highlight w:val="none"/>
        </w:rPr>
        <w:t>10.6 文明施工</w:t>
      </w:r>
      <w:bookmarkEnd w:id="550"/>
    </w:p>
    <w:p w14:paraId="2C44CA0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承包人按照《</w:t>
      </w:r>
      <w:r>
        <w:rPr>
          <w:rFonts w:hint="eastAsia" w:ascii="宋体" w:hAnsi="宋体" w:cs="宋体"/>
          <w:sz w:val="22"/>
          <w:szCs w:val="24"/>
          <w:highlight w:val="none"/>
        </w:rPr>
        <w:fldChar w:fldCharType="begin"/>
      </w:r>
      <w:r>
        <w:rPr>
          <w:rFonts w:hint="eastAsia" w:ascii="宋体" w:hAnsi="宋体" w:cs="宋体"/>
          <w:sz w:val="22"/>
          <w:szCs w:val="24"/>
          <w:highlight w:val="none"/>
        </w:rPr>
        <w:instrText xml:space="preserve"> HYPERLINK "http://baike.baidu.com/view/20497.htm" \t "_blank" </w:instrText>
      </w:r>
      <w:r>
        <w:rPr>
          <w:rFonts w:hint="eastAsia" w:ascii="宋体" w:hAnsi="宋体" w:cs="宋体"/>
          <w:sz w:val="22"/>
          <w:szCs w:val="24"/>
          <w:highlight w:val="none"/>
        </w:rPr>
        <w:fldChar w:fldCharType="separate"/>
      </w:r>
      <w:r>
        <w:rPr>
          <w:rFonts w:hint="eastAsia" w:ascii="宋体" w:hAnsi="宋体" w:cs="宋体"/>
          <w:sz w:val="22"/>
          <w:highlight w:val="none"/>
        </w:rPr>
        <w:t>中华人民共和国安全生产法</w:t>
      </w:r>
      <w:r>
        <w:rPr>
          <w:rFonts w:hint="eastAsia" w:ascii="宋体" w:hAnsi="宋体" w:cs="宋体"/>
          <w:sz w:val="22"/>
          <w:highlight w:val="none"/>
        </w:rPr>
        <w:fldChar w:fldCharType="end"/>
      </w:r>
      <w:r>
        <w:rPr>
          <w:rFonts w:hint="eastAsia" w:ascii="宋体" w:hAnsi="宋体" w:cs="宋体"/>
          <w:sz w:val="22"/>
          <w:highlight w:val="none"/>
        </w:rPr>
        <w:t>》，《建设工程安全生产管理条例》和建设部建办[2005]89号《建筑工程安全防护、文明施工措施费用及使用管理规定》及陕西省、项目所在地相关要求中关于创建安全文明施工作业环境的规定执行，所需全部费用已包含在发包人支付的安全防护、文明施工措施费中，发包人无需另行支付。承包人承担由于自身措施不力造成事故的全部责任和费用。</w:t>
      </w:r>
    </w:p>
    <w:p w14:paraId="103F7CE9">
      <w:pPr>
        <w:pStyle w:val="3"/>
        <w:spacing w:before="156" w:beforeLines="50" w:after="0" w:line="360" w:lineRule="auto"/>
        <w:rPr>
          <w:rFonts w:hint="eastAsia" w:ascii="宋体" w:hAnsi="宋体" w:cs="宋体"/>
          <w:b w:val="0"/>
          <w:highlight w:val="none"/>
        </w:rPr>
      </w:pPr>
      <w:bookmarkStart w:id="551" w:name="_Toc480909978"/>
      <w:r>
        <w:rPr>
          <w:rFonts w:hint="eastAsia" w:ascii="宋体" w:hAnsi="宋体" w:cs="宋体"/>
          <w:b w:val="0"/>
          <w:highlight w:val="none"/>
        </w:rPr>
        <w:t>11．开始工作和竣工</w:t>
      </w:r>
      <w:bookmarkEnd w:id="551"/>
    </w:p>
    <w:p w14:paraId="632FD8DE">
      <w:pPr>
        <w:pStyle w:val="4"/>
        <w:spacing w:before="156" w:beforeLines="50"/>
        <w:rPr>
          <w:rFonts w:hint="eastAsia" w:ascii="宋体" w:hAnsi="宋体" w:cs="宋体"/>
          <w:sz w:val="36"/>
          <w:szCs w:val="28"/>
          <w:highlight w:val="none"/>
        </w:rPr>
      </w:pPr>
      <w:bookmarkStart w:id="552" w:name="_Toc480909979"/>
      <w:r>
        <w:rPr>
          <w:rFonts w:hint="eastAsia" w:ascii="宋体" w:hAnsi="宋体" w:cs="宋体"/>
          <w:sz w:val="36"/>
          <w:szCs w:val="28"/>
          <w:highlight w:val="none"/>
        </w:rPr>
        <w:t>11.1 开始工作</w:t>
      </w:r>
      <w:bookmarkEnd w:id="552"/>
    </w:p>
    <w:p w14:paraId="77400E4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增加以下内容：</w:t>
      </w:r>
    </w:p>
    <w:p w14:paraId="125FFD1B">
      <w:pPr>
        <w:adjustRightInd w:val="0"/>
        <w:snapToGrid w:val="0"/>
        <w:spacing w:line="360" w:lineRule="auto"/>
        <w:ind w:firstLine="440" w:firstLineChars="200"/>
        <w:rPr>
          <w:rFonts w:hint="eastAsia" w:ascii="宋体" w:hAnsi="宋体" w:cs="宋体"/>
          <w:sz w:val="22"/>
          <w:szCs w:val="24"/>
          <w:highlight w:val="none"/>
        </w:rPr>
      </w:pPr>
      <w:r>
        <w:rPr>
          <w:rFonts w:hint="eastAsia" w:ascii="宋体" w:hAnsi="宋体" w:cs="宋体"/>
          <w:sz w:val="22"/>
          <w:szCs w:val="24"/>
          <w:highlight w:val="none"/>
        </w:rPr>
        <w:t>承包人必须根据通过审查的施工图进行施工。</w:t>
      </w:r>
    </w:p>
    <w:p w14:paraId="5BD4F8B8">
      <w:pPr>
        <w:pStyle w:val="4"/>
        <w:spacing w:before="156" w:beforeLines="50"/>
        <w:rPr>
          <w:rFonts w:hint="eastAsia" w:ascii="宋体" w:hAnsi="宋体" w:cs="宋体"/>
          <w:sz w:val="36"/>
          <w:szCs w:val="28"/>
          <w:highlight w:val="none"/>
        </w:rPr>
      </w:pPr>
      <w:bookmarkStart w:id="553" w:name="_Toc480909980"/>
      <w:r>
        <w:rPr>
          <w:rFonts w:hint="eastAsia" w:ascii="宋体" w:hAnsi="宋体" w:cs="宋体"/>
          <w:sz w:val="36"/>
          <w:szCs w:val="28"/>
          <w:highlight w:val="none"/>
        </w:rPr>
        <w:t>11.3 发包人的工期延误</w:t>
      </w:r>
      <w:bookmarkEnd w:id="553"/>
    </w:p>
    <w:p w14:paraId="43F90D5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删除第（5）、（6）项。</w:t>
      </w:r>
    </w:p>
    <w:p w14:paraId="613D1494">
      <w:pPr>
        <w:pStyle w:val="4"/>
        <w:spacing w:before="156" w:beforeLines="50"/>
        <w:rPr>
          <w:rFonts w:hint="eastAsia" w:ascii="宋体" w:hAnsi="宋体" w:cs="宋体"/>
          <w:sz w:val="36"/>
          <w:szCs w:val="28"/>
          <w:highlight w:val="none"/>
        </w:rPr>
      </w:pPr>
      <w:bookmarkStart w:id="554" w:name="_Toc480909981"/>
      <w:r>
        <w:rPr>
          <w:rFonts w:hint="eastAsia" w:ascii="宋体" w:hAnsi="宋体" w:cs="宋体"/>
          <w:sz w:val="36"/>
          <w:szCs w:val="28"/>
          <w:highlight w:val="none"/>
        </w:rPr>
        <w:t>11.4 异常恶劣的气候条件</w:t>
      </w:r>
      <w:bookmarkEnd w:id="554"/>
    </w:p>
    <w:p w14:paraId="5B00290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出现以月计的每个时期的恶劣气候比本省气象部门40年的统计资料，以20年一遇频率计算的平均气候还要恶劣的异常气候时，由监理人根据承包人提交的证明予以评定，由此导致工期延误的，承包人有权要求发包人延长工期，但合同总价不予调整。</w:t>
      </w:r>
    </w:p>
    <w:p w14:paraId="7C3EEF53">
      <w:pPr>
        <w:pStyle w:val="4"/>
        <w:spacing w:before="156" w:beforeLines="50"/>
        <w:rPr>
          <w:rFonts w:hint="eastAsia" w:ascii="宋体" w:hAnsi="宋体" w:cs="宋体"/>
          <w:sz w:val="36"/>
          <w:szCs w:val="28"/>
          <w:highlight w:val="none"/>
        </w:rPr>
      </w:pPr>
      <w:bookmarkStart w:id="555" w:name="_Toc480909982"/>
      <w:r>
        <w:rPr>
          <w:rFonts w:hint="eastAsia" w:ascii="宋体" w:hAnsi="宋体" w:cs="宋体"/>
          <w:sz w:val="36"/>
          <w:szCs w:val="28"/>
          <w:highlight w:val="none"/>
        </w:rPr>
        <w:t>11.5 承包人的工期延误</w:t>
      </w:r>
      <w:bookmarkEnd w:id="555"/>
    </w:p>
    <w:p w14:paraId="4D5C78F6">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增加以下内容：</w:t>
      </w:r>
    </w:p>
    <w:p w14:paraId="2998D3C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（1）因承包人原因的设计错误、施工返工、工期延误，产生的工程费用及延误工期，工程费用不予增加，工期不予顺延。</w:t>
      </w:r>
    </w:p>
    <w:p w14:paraId="5DCB4C7D">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总工期和节点工期延误的前30天，违约金每天按对应签约合同金额的0.25‰计算；总工期和节点工期延误超过30天后，发包人有权单方面解除合同，同时每天按对应签约合同金额的0.5‰计算，但累计违约金总金额不应超过签约合同金额的5%,如果节点工期延误，竣工时总工期提前，发包人有权确定是否将总工期和（或）节点工期违约金返还或永久扣除。</w:t>
      </w:r>
    </w:p>
    <w:p w14:paraId="64195C2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（2）承包人应积极配合发包人进行项目的相关汇报、技术交底、施工图审查、审批、施工过程中的变更答疑等相关内容，如无积极配合，每延误一天罚款2000元，根据影响事件的严重性，加倍罚款。</w:t>
      </w:r>
      <w:r>
        <w:rPr>
          <w:rFonts w:hint="eastAsia" w:ascii="宋体" w:hAnsi="宋体" w:cs="宋体"/>
          <w:sz w:val="22"/>
          <w:highlight w:val="none"/>
        </w:rPr>
        <w:br w:type="textWrapping"/>
      </w:r>
      <w:bookmarkStart w:id="556" w:name="_Toc480909983"/>
      <w:r>
        <w:rPr>
          <w:rFonts w:hint="eastAsia" w:ascii="宋体" w:hAnsi="宋体" w:cs="宋体"/>
          <w:sz w:val="22"/>
          <w:highlight w:val="none"/>
        </w:rPr>
        <w:t>11.6 工期提前</w:t>
      </w:r>
      <w:bookmarkEnd w:id="556"/>
    </w:p>
    <w:p w14:paraId="68BB3A4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增加以下2项：</w:t>
      </w:r>
    </w:p>
    <w:p w14:paraId="125DBFB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11.6.1 承包人工期提前</w:t>
      </w:r>
    </w:p>
    <w:p w14:paraId="7A05BAE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双方另行协商。</w:t>
      </w:r>
    </w:p>
    <w:p w14:paraId="140C64E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11.6.2 发包人要求提前工期</w:t>
      </w:r>
    </w:p>
    <w:p w14:paraId="4767705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发包人要求承包人提前合同规定的竣工日期时，承包人必须接受并积极配合监理人共同协商采取赶工措施和修订合同进度计划，由发包人和承包人签订提前竣工协议。协议内容应包括：</w:t>
      </w:r>
    </w:p>
    <w:p w14:paraId="2AA0B37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⑴ 提前的时间和修订后的进度计划；</w:t>
      </w:r>
    </w:p>
    <w:p w14:paraId="0A70AAF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⑵ 承包人的赶工措施；</w:t>
      </w:r>
    </w:p>
    <w:p w14:paraId="5CBDD90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⑶ 发包人为赶工提供的条件；</w:t>
      </w:r>
    </w:p>
    <w:p w14:paraId="1862605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⑷ 赶工费用。</w:t>
      </w:r>
    </w:p>
    <w:p w14:paraId="2258D17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由于承包人原因导致的工期延误，发包人对此提出的赶工及其措施不适用本条款。</w:t>
      </w:r>
    </w:p>
    <w:p w14:paraId="42065FCA">
      <w:pPr>
        <w:adjustRightInd w:val="0"/>
        <w:snapToGrid w:val="0"/>
        <w:spacing w:line="360" w:lineRule="auto"/>
        <w:ind w:firstLine="440" w:firstLineChars="200"/>
        <w:rPr>
          <w:rFonts w:hint="eastAsia" w:ascii="宋体" w:hAnsi="宋体" w:cs="宋体"/>
          <w:bCs/>
          <w:sz w:val="22"/>
          <w:highlight w:val="none"/>
        </w:rPr>
      </w:pPr>
      <w:r>
        <w:rPr>
          <w:rFonts w:hint="eastAsia" w:ascii="宋体" w:hAnsi="宋体" w:cs="宋体"/>
          <w:bCs/>
          <w:sz w:val="22"/>
          <w:highlight w:val="none"/>
        </w:rPr>
        <w:t>11.7行政审批迟延</w:t>
      </w:r>
    </w:p>
    <w:p w14:paraId="5495210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变更为：合同约定范围内的工作需国家有关部门审批的，发包人和（或）承包人应按照合同约定的职责分工完成行政审批报送。因国家有关部门审批迟延造成工期延误的，工期不顺延。</w:t>
      </w:r>
    </w:p>
    <w:p w14:paraId="771D66BF">
      <w:pPr>
        <w:pStyle w:val="4"/>
        <w:spacing w:before="156" w:beforeLines="50"/>
        <w:rPr>
          <w:rFonts w:hint="eastAsia" w:ascii="宋体" w:hAnsi="宋体" w:cs="宋体"/>
          <w:sz w:val="36"/>
          <w:szCs w:val="28"/>
          <w:highlight w:val="none"/>
        </w:rPr>
      </w:pPr>
      <w:bookmarkStart w:id="557" w:name="_Toc480909984"/>
      <w:r>
        <w:rPr>
          <w:rFonts w:hint="eastAsia" w:ascii="宋体" w:hAnsi="宋体" w:cs="宋体"/>
          <w:sz w:val="36"/>
          <w:szCs w:val="28"/>
          <w:highlight w:val="none"/>
        </w:rPr>
        <w:t>11.8 合同进度计划</w:t>
      </w:r>
      <w:bookmarkEnd w:id="557"/>
    </w:p>
    <w:p w14:paraId="6458810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11.8.1 承包人应在本合同生效后7天内，编制工程总进度计划和工程实施方案说明报送监理人审批。工程总进度计划和工程实施方案应分工程准备、设计、施工、初步验收、试运行、竣工验收、缺陷修复和保修等分阶段编制详细细目。监理人应在7天内批复承包人。经监理人批准的工程总进度计划（称合同进度计划），作为控制本合同工程进度的依据，并据此编制年、季和月进度计划（提交纸介质文档和电子文档）报送监理人审批。在工程总进度计划批准前，应按签订协议书时商定的进度计划和监理人的指示控制工程进度。</w:t>
      </w:r>
    </w:p>
    <w:p w14:paraId="796EA74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11.8.2 单位工程（或分部工程）进度计划</w:t>
      </w:r>
    </w:p>
    <w:p w14:paraId="3D199E8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（1）承包人在开工前，根据本项目具体特点，编制详细的部分工程进度计划报监理人审批，并严格按发包人和监理人批准的分部工程施工计划实施。</w:t>
      </w:r>
    </w:p>
    <w:p w14:paraId="385F314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（2）提交资金计划</w:t>
      </w:r>
    </w:p>
    <w:p w14:paraId="471C391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在按第11.8.1项的规定向监理人报送施工总进度计划的同时，向监理人提交按月的资金计划。估算表应包括承包人计划可从发包人处得到的全部款额，以供发包人参考。此后，如监理人提出要求，承包人还应在监理人指定的期限内提交修订的资金计划。</w:t>
      </w:r>
    </w:p>
    <w:p w14:paraId="7688F9F1">
      <w:pPr>
        <w:pStyle w:val="4"/>
        <w:spacing w:before="156" w:beforeLines="50"/>
        <w:rPr>
          <w:rFonts w:hint="eastAsia" w:ascii="宋体" w:hAnsi="宋体" w:cs="宋体"/>
          <w:sz w:val="36"/>
          <w:szCs w:val="28"/>
          <w:highlight w:val="none"/>
        </w:rPr>
      </w:pPr>
      <w:bookmarkStart w:id="558" w:name="_Toc480909985"/>
      <w:r>
        <w:rPr>
          <w:rFonts w:hint="eastAsia" w:ascii="宋体" w:hAnsi="宋体" w:cs="宋体"/>
          <w:sz w:val="36"/>
          <w:szCs w:val="28"/>
          <w:highlight w:val="none"/>
        </w:rPr>
        <w:t>11.9 合同进度计划的修订</w:t>
      </w:r>
      <w:bookmarkEnd w:id="558"/>
    </w:p>
    <w:p w14:paraId="6D581E1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不论何种原因造成工程的实际进度与第11.8款所述的合同进度计划不符时，承包人应按监理人的指示在7天内提交一份修订的进度计划报送监理人审批，监理人应在收到该进度计划后的7天内批复承包人。批准后的修订进度计划作为实际实施的合同进度计划。</w:t>
      </w:r>
    </w:p>
    <w:p w14:paraId="6AB555C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不论何种原因造成施工进度计划拖后，承包人均应按监理人的指示，采取有效措施赶上进度。承包人应在向监理人报送修订进度计划的同时，编制一份赶工措施报告报送监理人审批，赶工措施应以保证工程按期完工为前提调整和修改进度计划。由于发包人原因造成施工进度拖后，应按相关条款的规定办理；由于承包人原因造成施工进度拖后，应按相关条款的规定办理，发包人不承担由此产生的赶工措施费。</w:t>
      </w:r>
    </w:p>
    <w:p w14:paraId="3D16C349">
      <w:pPr>
        <w:adjustRightInd w:val="0"/>
        <w:snapToGrid w:val="0"/>
        <w:spacing w:line="360" w:lineRule="auto"/>
        <w:ind w:firstLine="440" w:firstLineChars="200"/>
        <w:rPr>
          <w:rFonts w:hint="eastAsia" w:ascii="宋体" w:hAnsi="宋体" w:cs="宋体"/>
          <w:b/>
          <w:sz w:val="22"/>
          <w:highlight w:val="none"/>
        </w:rPr>
      </w:pPr>
      <w:r>
        <w:rPr>
          <w:rFonts w:hint="eastAsia" w:ascii="宋体" w:hAnsi="宋体" w:cs="宋体"/>
          <w:sz w:val="22"/>
          <w:highlight w:val="none"/>
        </w:rPr>
        <w:t>（3）监理人认为有必要时可发出指示，承包人应按监理人指示的内容和期限，并根据合同进度计划的进度控制要求，编制单位工程（或分部工程）进度计划报送监理人审批。</w:t>
      </w:r>
    </w:p>
    <w:p w14:paraId="220F86CC">
      <w:pPr>
        <w:pStyle w:val="4"/>
        <w:spacing w:before="156" w:beforeLines="50"/>
        <w:rPr>
          <w:rFonts w:hint="eastAsia" w:ascii="宋体" w:hAnsi="宋体" w:cs="宋体"/>
          <w:sz w:val="36"/>
          <w:szCs w:val="28"/>
          <w:highlight w:val="none"/>
        </w:rPr>
      </w:pPr>
      <w:bookmarkStart w:id="559" w:name="_Toc480909986"/>
      <w:r>
        <w:rPr>
          <w:rFonts w:hint="eastAsia" w:ascii="宋体" w:hAnsi="宋体" w:cs="宋体"/>
          <w:sz w:val="36"/>
          <w:szCs w:val="28"/>
          <w:highlight w:val="none"/>
        </w:rPr>
        <w:t>11.10 进度报告</w:t>
      </w:r>
      <w:bookmarkEnd w:id="559"/>
    </w:p>
    <w:p w14:paraId="645A4C2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承包人应编制月进度报告，每份报告应包括：</w:t>
      </w:r>
    </w:p>
    <w:p w14:paraId="7CC550E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1 \* GB2 </w:instrText>
      </w:r>
      <w:r>
        <w:rPr>
          <w:rFonts w:hint="eastAsia" w:ascii="宋体" w:hAnsi="宋体" w:cs="宋体"/>
          <w:sz w:val="22"/>
          <w:highlight w:val="none"/>
        </w:rPr>
        <w:fldChar w:fldCharType="separate"/>
      </w:r>
      <w:r>
        <w:rPr>
          <w:rFonts w:hint="eastAsia" w:ascii="宋体" w:hAnsi="宋体" w:cs="宋体"/>
          <w:sz w:val="22"/>
          <w:highlight w:val="none"/>
        </w:rPr>
        <w:t>⑴</w:t>
      </w:r>
      <w:r>
        <w:rPr>
          <w:rFonts w:hint="eastAsia" w:ascii="宋体" w:hAnsi="宋体" w:cs="宋体"/>
          <w:sz w:val="22"/>
          <w:highlight w:val="none"/>
        </w:rPr>
        <w:fldChar w:fldCharType="end"/>
      </w:r>
      <w:r>
        <w:rPr>
          <w:rFonts w:hint="eastAsia" w:ascii="宋体" w:hAnsi="宋体" w:cs="宋体"/>
          <w:sz w:val="22"/>
          <w:highlight w:val="none"/>
        </w:rPr>
        <w:t xml:space="preserve"> 设计、货物运达现场、施工、安装调试、试验、投产准备和试运行等每一阶段进展情况的图表和详细说明及承包人应提交的文件；</w:t>
      </w:r>
    </w:p>
    <w:p w14:paraId="54B5AC7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2 \* GB2 </w:instrText>
      </w:r>
      <w:r>
        <w:rPr>
          <w:rFonts w:hint="eastAsia" w:ascii="宋体" w:hAnsi="宋体" w:cs="宋体"/>
          <w:sz w:val="22"/>
          <w:highlight w:val="none"/>
        </w:rPr>
        <w:fldChar w:fldCharType="separate"/>
      </w:r>
      <w:r>
        <w:rPr>
          <w:rFonts w:hint="eastAsia" w:ascii="宋体" w:hAnsi="宋体" w:cs="宋体"/>
          <w:sz w:val="22"/>
          <w:highlight w:val="none"/>
        </w:rPr>
        <w:t>⑵</w:t>
      </w:r>
      <w:r>
        <w:rPr>
          <w:rFonts w:hint="eastAsia" w:ascii="宋体" w:hAnsi="宋体" w:cs="宋体"/>
          <w:sz w:val="22"/>
          <w:highlight w:val="none"/>
        </w:rPr>
        <w:fldChar w:fldCharType="end"/>
      </w:r>
      <w:r>
        <w:rPr>
          <w:rFonts w:hint="eastAsia" w:ascii="宋体" w:hAnsi="宋体" w:cs="宋体"/>
          <w:sz w:val="22"/>
          <w:highlight w:val="none"/>
        </w:rPr>
        <w:t xml:space="preserve"> 反映制造情况和现场进展情况的照片；</w:t>
      </w:r>
    </w:p>
    <w:p w14:paraId="381CA28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3 \* GB2 </w:instrText>
      </w:r>
      <w:r>
        <w:rPr>
          <w:rFonts w:hint="eastAsia" w:ascii="宋体" w:hAnsi="宋体" w:cs="宋体"/>
          <w:sz w:val="22"/>
          <w:highlight w:val="none"/>
        </w:rPr>
        <w:fldChar w:fldCharType="separate"/>
      </w:r>
      <w:r>
        <w:rPr>
          <w:rFonts w:hint="eastAsia" w:ascii="宋体" w:hAnsi="宋体" w:cs="宋体"/>
          <w:sz w:val="22"/>
          <w:highlight w:val="none"/>
        </w:rPr>
        <w:t>⑶</w:t>
      </w:r>
      <w:r>
        <w:rPr>
          <w:rFonts w:hint="eastAsia" w:ascii="宋体" w:hAnsi="宋体" w:cs="宋体"/>
          <w:sz w:val="22"/>
          <w:highlight w:val="none"/>
        </w:rPr>
        <w:fldChar w:fldCharType="end"/>
      </w:r>
      <w:r>
        <w:rPr>
          <w:rFonts w:hint="eastAsia" w:ascii="宋体" w:hAnsi="宋体" w:cs="宋体"/>
          <w:sz w:val="22"/>
          <w:highlight w:val="none"/>
        </w:rPr>
        <w:t xml:space="preserve"> 关于每项主要工程设备和材料的生产，制造商名称、制造地点、进度百分比，以及下列事项的实际或预计日期：</w:t>
      </w:r>
    </w:p>
    <w:p w14:paraId="3240E60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1 \* GB3 </w:instrText>
      </w:r>
      <w:r>
        <w:rPr>
          <w:rFonts w:hint="eastAsia" w:ascii="宋体" w:hAnsi="宋体" w:cs="宋体"/>
          <w:sz w:val="22"/>
          <w:highlight w:val="none"/>
        </w:rPr>
        <w:fldChar w:fldCharType="separate"/>
      </w:r>
      <w:r>
        <w:rPr>
          <w:rFonts w:hint="eastAsia" w:ascii="宋体" w:hAnsi="宋体" w:cs="宋体"/>
          <w:sz w:val="22"/>
          <w:highlight w:val="none"/>
        </w:rPr>
        <w:t>①</w:t>
      </w:r>
      <w:r>
        <w:rPr>
          <w:rFonts w:hint="eastAsia" w:ascii="宋体" w:hAnsi="宋体" w:cs="宋体"/>
          <w:sz w:val="22"/>
          <w:highlight w:val="none"/>
        </w:rPr>
        <w:fldChar w:fldCharType="end"/>
      </w:r>
      <w:r>
        <w:rPr>
          <w:rFonts w:hint="eastAsia" w:ascii="宋体" w:hAnsi="宋体" w:cs="宋体"/>
          <w:sz w:val="22"/>
          <w:highlight w:val="none"/>
        </w:rPr>
        <w:t xml:space="preserve"> 开始制造；</w:t>
      </w:r>
    </w:p>
    <w:p w14:paraId="3D093FF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2 \* GB3 </w:instrText>
      </w:r>
      <w:r>
        <w:rPr>
          <w:rFonts w:hint="eastAsia" w:ascii="宋体" w:hAnsi="宋体" w:cs="宋体"/>
          <w:sz w:val="22"/>
          <w:highlight w:val="none"/>
        </w:rPr>
        <w:fldChar w:fldCharType="separate"/>
      </w:r>
      <w:r>
        <w:rPr>
          <w:rFonts w:hint="eastAsia" w:ascii="宋体" w:hAnsi="宋体" w:cs="宋体"/>
          <w:sz w:val="22"/>
          <w:highlight w:val="none"/>
        </w:rPr>
        <w:t>②</w:t>
      </w:r>
      <w:r>
        <w:rPr>
          <w:rFonts w:hint="eastAsia" w:ascii="宋体" w:hAnsi="宋体" w:cs="宋体"/>
          <w:sz w:val="22"/>
          <w:highlight w:val="none"/>
        </w:rPr>
        <w:fldChar w:fldCharType="end"/>
      </w:r>
      <w:r>
        <w:rPr>
          <w:rFonts w:hint="eastAsia" w:ascii="宋体" w:hAnsi="宋体" w:cs="宋体"/>
          <w:sz w:val="22"/>
          <w:highlight w:val="none"/>
        </w:rPr>
        <w:t xml:space="preserve"> 承包人检验；</w:t>
      </w:r>
    </w:p>
    <w:p w14:paraId="58F6FED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3 \* GB3 </w:instrText>
      </w:r>
      <w:r>
        <w:rPr>
          <w:rFonts w:hint="eastAsia" w:ascii="宋体" w:hAnsi="宋体" w:cs="宋体"/>
          <w:sz w:val="22"/>
          <w:highlight w:val="none"/>
        </w:rPr>
        <w:fldChar w:fldCharType="separate"/>
      </w:r>
      <w:r>
        <w:rPr>
          <w:rFonts w:hint="eastAsia" w:ascii="宋体" w:hAnsi="宋体" w:cs="宋体"/>
          <w:sz w:val="22"/>
          <w:highlight w:val="none"/>
        </w:rPr>
        <w:t>③</w:t>
      </w:r>
      <w:r>
        <w:rPr>
          <w:rFonts w:hint="eastAsia" w:ascii="宋体" w:hAnsi="宋体" w:cs="宋体"/>
          <w:sz w:val="22"/>
          <w:highlight w:val="none"/>
        </w:rPr>
        <w:fldChar w:fldCharType="end"/>
      </w:r>
      <w:r>
        <w:rPr>
          <w:rFonts w:hint="eastAsia" w:ascii="宋体" w:hAnsi="宋体" w:cs="宋体"/>
          <w:sz w:val="22"/>
          <w:highlight w:val="none"/>
        </w:rPr>
        <w:t xml:space="preserve"> 试验；</w:t>
      </w:r>
    </w:p>
    <w:p w14:paraId="558F516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4 \* GB3 </w:instrText>
      </w:r>
      <w:r>
        <w:rPr>
          <w:rFonts w:hint="eastAsia" w:ascii="宋体" w:hAnsi="宋体" w:cs="宋体"/>
          <w:sz w:val="22"/>
          <w:highlight w:val="none"/>
        </w:rPr>
        <w:fldChar w:fldCharType="separate"/>
      </w:r>
      <w:r>
        <w:rPr>
          <w:rFonts w:hint="eastAsia" w:ascii="宋体" w:hAnsi="宋体" w:cs="宋体"/>
          <w:sz w:val="22"/>
          <w:highlight w:val="none"/>
        </w:rPr>
        <w:t>④</w:t>
      </w:r>
      <w:r>
        <w:rPr>
          <w:rFonts w:hint="eastAsia" w:ascii="宋体" w:hAnsi="宋体" w:cs="宋体"/>
          <w:sz w:val="22"/>
          <w:highlight w:val="none"/>
        </w:rPr>
        <w:fldChar w:fldCharType="end"/>
      </w:r>
      <w:r>
        <w:rPr>
          <w:rFonts w:hint="eastAsia" w:ascii="宋体" w:hAnsi="宋体" w:cs="宋体"/>
          <w:sz w:val="22"/>
          <w:highlight w:val="none"/>
        </w:rPr>
        <w:t xml:space="preserve"> 发货和运抵现场；</w:t>
      </w:r>
    </w:p>
    <w:p w14:paraId="22694AA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5 \* GB3 </w:instrText>
      </w:r>
      <w:r>
        <w:rPr>
          <w:rFonts w:hint="eastAsia" w:ascii="宋体" w:hAnsi="宋体" w:cs="宋体"/>
          <w:sz w:val="22"/>
          <w:highlight w:val="none"/>
        </w:rPr>
        <w:fldChar w:fldCharType="separate"/>
      </w:r>
      <w:r>
        <w:rPr>
          <w:rFonts w:hint="eastAsia" w:ascii="宋体" w:hAnsi="宋体" w:cs="宋体"/>
          <w:sz w:val="22"/>
          <w:highlight w:val="none"/>
        </w:rPr>
        <w:t>⑤</w:t>
      </w:r>
      <w:r>
        <w:rPr>
          <w:rFonts w:hint="eastAsia" w:ascii="宋体" w:hAnsi="宋体" w:cs="宋体"/>
          <w:sz w:val="22"/>
          <w:highlight w:val="none"/>
        </w:rPr>
        <w:fldChar w:fldCharType="end"/>
      </w:r>
      <w:r>
        <w:rPr>
          <w:rFonts w:hint="eastAsia" w:ascii="宋体" w:hAnsi="宋体" w:cs="宋体"/>
          <w:sz w:val="22"/>
          <w:highlight w:val="none"/>
        </w:rPr>
        <w:t xml:space="preserve"> 有关承包人的人员和设备所有细节；</w:t>
      </w:r>
    </w:p>
    <w:p w14:paraId="4A33AAF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6 \* GB3 </w:instrText>
      </w:r>
      <w:r>
        <w:rPr>
          <w:rFonts w:hint="eastAsia" w:ascii="宋体" w:hAnsi="宋体" w:cs="宋体"/>
          <w:sz w:val="22"/>
          <w:highlight w:val="none"/>
        </w:rPr>
        <w:fldChar w:fldCharType="separate"/>
      </w:r>
      <w:r>
        <w:rPr>
          <w:rFonts w:hint="eastAsia" w:ascii="宋体" w:hAnsi="宋体" w:cs="宋体"/>
          <w:sz w:val="22"/>
          <w:highlight w:val="none"/>
        </w:rPr>
        <w:t>⑥</w:t>
      </w:r>
      <w:r>
        <w:rPr>
          <w:rFonts w:hint="eastAsia" w:ascii="宋体" w:hAnsi="宋体" w:cs="宋体"/>
          <w:sz w:val="22"/>
          <w:highlight w:val="none"/>
        </w:rPr>
        <w:fldChar w:fldCharType="end"/>
      </w:r>
      <w:r>
        <w:rPr>
          <w:rFonts w:hint="eastAsia" w:ascii="宋体" w:hAnsi="宋体" w:cs="宋体"/>
          <w:sz w:val="22"/>
          <w:highlight w:val="none"/>
        </w:rPr>
        <w:t xml:space="preserve"> 材料的质量保证文件、试验结果及合格证的副本；</w:t>
      </w:r>
    </w:p>
    <w:p w14:paraId="0919BDC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7 \* GB3 </w:instrText>
      </w:r>
      <w:r>
        <w:rPr>
          <w:rFonts w:hint="eastAsia" w:ascii="宋体" w:hAnsi="宋体" w:cs="宋体"/>
          <w:sz w:val="22"/>
          <w:highlight w:val="none"/>
        </w:rPr>
        <w:fldChar w:fldCharType="separate"/>
      </w:r>
      <w:r>
        <w:rPr>
          <w:rFonts w:hint="eastAsia" w:ascii="宋体" w:hAnsi="宋体" w:cs="宋体"/>
          <w:sz w:val="22"/>
          <w:highlight w:val="none"/>
        </w:rPr>
        <w:t>⑦</w:t>
      </w:r>
      <w:r>
        <w:rPr>
          <w:rFonts w:hint="eastAsia" w:ascii="宋体" w:hAnsi="宋体" w:cs="宋体"/>
          <w:sz w:val="22"/>
          <w:highlight w:val="none"/>
        </w:rPr>
        <w:fldChar w:fldCharType="end"/>
      </w:r>
      <w:r>
        <w:rPr>
          <w:rFonts w:hint="eastAsia" w:ascii="宋体" w:hAnsi="宋体" w:cs="宋体"/>
          <w:sz w:val="22"/>
          <w:highlight w:val="none"/>
        </w:rPr>
        <w:t xml:space="preserve"> 安全统计，包括对环境和公共关系有危害的任何事件与活动的详细情况；</w:t>
      </w:r>
    </w:p>
    <w:p w14:paraId="4A0CFC4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8 \* GB3 </w:instrText>
      </w:r>
      <w:r>
        <w:rPr>
          <w:rFonts w:hint="eastAsia" w:ascii="宋体" w:hAnsi="宋体" w:cs="宋体"/>
          <w:sz w:val="22"/>
          <w:highlight w:val="none"/>
        </w:rPr>
        <w:fldChar w:fldCharType="separate"/>
      </w:r>
      <w:r>
        <w:rPr>
          <w:rFonts w:hint="eastAsia" w:ascii="宋体" w:hAnsi="宋体" w:cs="宋体"/>
          <w:sz w:val="22"/>
          <w:highlight w:val="none"/>
        </w:rPr>
        <w:t>⑧</w:t>
      </w:r>
      <w:r>
        <w:rPr>
          <w:rFonts w:hint="eastAsia" w:ascii="宋体" w:hAnsi="宋体" w:cs="宋体"/>
          <w:sz w:val="22"/>
          <w:highlight w:val="none"/>
        </w:rPr>
        <w:fldChar w:fldCharType="end"/>
      </w:r>
      <w:r>
        <w:rPr>
          <w:rFonts w:hint="eastAsia" w:ascii="宋体" w:hAnsi="宋体" w:cs="宋体"/>
          <w:sz w:val="22"/>
          <w:highlight w:val="none"/>
        </w:rPr>
        <w:t xml:space="preserve"> 实际进度与计划进度的对比，包括可能影响按合同竣工的任何事件或情况的详情，以及为消除延误正在(或准备)采取的措施。</w:t>
      </w:r>
      <w:r>
        <w:rPr>
          <w:rFonts w:hint="eastAsia" w:ascii="宋体" w:hAnsi="宋体" w:cs="宋体"/>
          <w:sz w:val="22"/>
          <w:highlight w:val="none"/>
        </w:rPr>
        <w:tab/>
      </w:r>
    </w:p>
    <w:p w14:paraId="146859CA">
      <w:pPr>
        <w:pStyle w:val="3"/>
        <w:spacing w:before="156" w:beforeLines="50" w:after="0" w:line="360" w:lineRule="auto"/>
        <w:rPr>
          <w:rFonts w:hint="eastAsia" w:ascii="宋体" w:hAnsi="宋体" w:cs="宋体"/>
          <w:b w:val="0"/>
          <w:highlight w:val="none"/>
        </w:rPr>
      </w:pPr>
      <w:bookmarkStart w:id="560" w:name="_Toc480909987"/>
      <w:r>
        <w:rPr>
          <w:rFonts w:hint="eastAsia" w:ascii="宋体" w:hAnsi="宋体" w:cs="宋体"/>
          <w:b w:val="0"/>
          <w:highlight w:val="none"/>
        </w:rPr>
        <w:t>12．暂停工作</w:t>
      </w:r>
      <w:bookmarkEnd w:id="560"/>
    </w:p>
    <w:p w14:paraId="3ACED8A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12.1.2 增加以下1目：</w:t>
      </w:r>
    </w:p>
    <w:p w14:paraId="0DD31D2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（4）因行政主管部门环境保护（治污减霾、扬尘治理等）、安全文明等引起的暂停施工。</w:t>
      </w:r>
    </w:p>
    <w:p w14:paraId="41D8A2CB">
      <w:pPr>
        <w:pStyle w:val="3"/>
        <w:spacing w:before="156" w:beforeLines="50" w:after="0" w:line="360" w:lineRule="auto"/>
        <w:rPr>
          <w:rFonts w:hint="eastAsia" w:ascii="宋体" w:hAnsi="宋体" w:cs="宋体"/>
          <w:b w:val="0"/>
          <w:highlight w:val="none"/>
        </w:rPr>
      </w:pPr>
      <w:bookmarkStart w:id="561" w:name="_Toc480909988"/>
      <w:r>
        <w:rPr>
          <w:rFonts w:hint="eastAsia" w:ascii="宋体" w:hAnsi="宋体" w:cs="宋体"/>
          <w:b w:val="0"/>
          <w:highlight w:val="none"/>
        </w:rPr>
        <w:t>13．工程质量</w:t>
      </w:r>
      <w:bookmarkEnd w:id="561"/>
    </w:p>
    <w:p w14:paraId="1369AB4F">
      <w:pPr>
        <w:pStyle w:val="4"/>
        <w:spacing w:before="156" w:beforeLines="50"/>
        <w:rPr>
          <w:rFonts w:hint="eastAsia" w:ascii="宋体" w:hAnsi="宋体" w:cs="宋体"/>
          <w:sz w:val="36"/>
          <w:szCs w:val="28"/>
          <w:highlight w:val="none"/>
        </w:rPr>
      </w:pPr>
      <w:bookmarkStart w:id="562" w:name="_Toc480909989"/>
      <w:r>
        <w:rPr>
          <w:rFonts w:hint="eastAsia" w:ascii="宋体" w:hAnsi="宋体" w:cs="宋体"/>
          <w:sz w:val="36"/>
          <w:szCs w:val="28"/>
          <w:highlight w:val="none"/>
        </w:rPr>
        <w:t>13.1 工程质量要求</w:t>
      </w:r>
      <w:bookmarkEnd w:id="562"/>
    </w:p>
    <w:p w14:paraId="28E34A7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增加以下2项</w:t>
      </w:r>
    </w:p>
    <w:p w14:paraId="7A6F101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13.1.4 双方对工程质量有争议，由双方同意的工程质量检测机构鉴定，所需费用及因此造成的损失，由责任方承担。双方均有责任，由双方根据其责任分别承担。</w:t>
      </w:r>
    </w:p>
    <w:p w14:paraId="2A9AFD1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13.1.5 因承包人原因出现质量事故，承包人应对工程进行修复。且除按国家、地方有关法律法规处罚外，详见专用条款22.1。若出现重大质量事故，发包人有权终止合同。</w:t>
      </w:r>
    </w:p>
    <w:p w14:paraId="606F41C5">
      <w:pPr>
        <w:pStyle w:val="4"/>
        <w:spacing w:before="156" w:beforeLines="50"/>
        <w:rPr>
          <w:rFonts w:hint="eastAsia" w:ascii="宋体" w:hAnsi="宋体" w:cs="宋体"/>
          <w:sz w:val="36"/>
          <w:szCs w:val="28"/>
          <w:highlight w:val="none"/>
        </w:rPr>
      </w:pPr>
      <w:bookmarkStart w:id="563" w:name="_Toc480909990"/>
      <w:r>
        <w:rPr>
          <w:rFonts w:hint="eastAsia" w:ascii="宋体" w:hAnsi="宋体" w:cs="宋体"/>
          <w:sz w:val="36"/>
          <w:szCs w:val="28"/>
          <w:highlight w:val="none"/>
        </w:rPr>
        <w:t>13.5 清除不合格工程</w:t>
      </w:r>
      <w:bookmarkEnd w:id="563"/>
    </w:p>
    <w:p w14:paraId="05B4519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szCs w:val="24"/>
          <w:highlight w:val="none"/>
        </w:rPr>
        <w:t>13.5.1修改为：</w:t>
      </w:r>
      <w:r>
        <w:rPr>
          <w:rFonts w:hint="eastAsia" w:ascii="宋体" w:hAnsi="宋体" w:cs="宋体"/>
          <w:sz w:val="22"/>
          <w:highlight w:val="none"/>
        </w:rPr>
        <w:t xml:space="preserve"> 因承包人设计失误，使用不合格材料、工程设备，或采用不适当的施工工艺，或施工不当，造成工程不合格的，监理人可以随时发出指示，要求承包人立即采取措施进行补救，直至达到合同要求的质量标准，由此增加的费用以及工期延误责任，由承包人承担。</w:t>
      </w:r>
    </w:p>
    <w:p w14:paraId="7D33D5B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增加以下1项：</w:t>
      </w:r>
    </w:p>
    <w:p w14:paraId="4266382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13.5.3 不合格的工程、材料和工程设备的处理</w:t>
      </w:r>
    </w:p>
    <w:p w14:paraId="6A3A03E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⑴ 由于承包人使用了不合格材料和工程设备造成了工程损害，监理人可以随时发出指示，要求承包人立即采取措施进行补救，直至彻底清除工程的不合格部位以及不合格的材料或工程设备，由此增加的费用和工期延误责任由承包人承担。</w:t>
      </w:r>
    </w:p>
    <w:p w14:paraId="6151A3F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⑵ 若承包人无故拖延或拒绝执行发包人的上述指示，则发包人有权委托其它承包人执行该项指示，由此增加的费用和利润以及工期延误责任，由承包人承担。</w:t>
      </w:r>
    </w:p>
    <w:p w14:paraId="3963EAEE">
      <w:pPr>
        <w:pStyle w:val="3"/>
        <w:spacing w:before="156" w:beforeLines="50" w:after="0" w:line="360" w:lineRule="auto"/>
        <w:rPr>
          <w:rFonts w:hint="eastAsia" w:ascii="宋体" w:hAnsi="宋体" w:cs="宋体"/>
          <w:b w:val="0"/>
          <w:highlight w:val="none"/>
        </w:rPr>
      </w:pPr>
      <w:bookmarkStart w:id="564" w:name="_Toc480909991"/>
      <w:r>
        <w:rPr>
          <w:rFonts w:hint="eastAsia" w:ascii="宋体" w:hAnsi="宋体" w:cs="宋体"/>
          <w:b w:val="0"/>
          <w:highlight w:val="none"/>
        </w:rPr>
        <w:t>14．试验和检验</w:t>
      </w:r>
      <w:bookmarkEnd w:id="564"/>
    </w:p>
    <w:p w14:paraId="69EF5E0E">
      <w:pPr>
        <w:pStyle w:val="4"/>
        <w:spacing w:before="156" w:beforeLines="50"/>
        <w:rPr>
          <w:rFonts w:hint="eastAsia" w:ascii="宋体" w:hAnsi="宋体" w:cs="宋体"/>
          <w:sz w:val="36"/>
          <w:szCs w:val="28"/>
          <w:highlight w:val="none"/>
        </w:rPr>
      </w:pPr>
      <w:bookmarkStart w:id="565" w:name="_Toc480909992"/>
      <w:r>
        <w:rPr>
          <w:rFonts w:hint="eastAsia" w:ascii="宋体" w:hAnsi="宋体" w:cs="宋体"/>
          <w:sz w:val="36"/>
          <w:szCs w:val="28"/>
          <w:highlight w:val="none"/>
        </w:rPr>
        <w:t>14.1 材料、工程设备和工程的试验和检验</w:t>
      </w:r>
      <w:bookmarkEnd w:id="565"/>
    </w:p>
    <w:p w14:paraId="6151A6A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增加以下3项：</w:t>
      </w:r>
    </w:p>
    <w:p w14:paraId="7A0F73C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14.1.5 承包人负责采购的材料和工程设备到达施工现场后，承包人应通知监理人共同进行检验和开箱验收，验收时应同时查验材质证明和产品合格证书。</w:t>
      </w:r>
    </w:p>
    <w:p w14:paraId="495E69A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承包人还应按国家规范的规定进行材料的抽样检验和工程设备的检验测试，并将检验结果提交监理人，其所需费用由承包人承担。</w:t>
      </w:r>
    </w:p>
    <w:p w14:paraId="5BA18FB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监理人应按合同规定参加交货验收，承包人应为监理人进行交货验收的监督检查提供一切方便。监理人参加交货验收不免除承包人在检验和交货验收中应负的责任。</w:t>
      </w:r>
    </w:p>
    <w:p w14:paraId="1D6E654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14.1.6 额外检验和重新检验</w:t>
      </w:r>
    </w:p>
    <w:p w14:paraId="6FFF6B1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1 \* GB2 </w:instrText>
      </w:r>
      <w:r>
        <w:rPr>
          <w:rFonts w:hint="eastAsia" w:ascii="宋体" w:hAnsi="宋体" w:cs="宋体"/>
          <w:sz w:val="22"/>
          <w:highlight w:val="none"/>
        </w:rPr>
        <w:fldChar w:fldCharType="separate"/>
      </w:r>
      <w:r>
        <w:rPr>
          <w:rFonts w:hint="eastAsia" w:ascii="宋体" w:hAnsi="宋体" w:cs="宋体"/>
          <w:sz w:val="22"/>
          <w:highlight w:val="none"/>
        </w:rPr>
        <w:t>⑴</w:t>
      </w:r>
      <w:r>
        <w:rPr>
          <w:rFonts w:hint="eastAsia" w:ascii="宋体" w:hAnsi="宋体" w:cs="宋体"/>
          <w:sz w:val="22"/>
          <w:highlight w:val="none"/>
        </w:rPr>
        <w:fldChar w:fldCharType="end"/>
      </w:r>
      <w:r>
        <w:rPr>
          <w:rFonts w:hint="eastAsia" w:ascii="宋体" w:hAnsi="宋体" w:cs="宋体"/>
          <w:sz w:val="22"/>
          <w:highlight w:val="none"/>
        </w:rPr>
        <w:t xml:space="preserve"> 若监理人要求承包人对某项材料和工程设备进行的检查和检验在超出国家规范和本合同的规定，监理人可以指示承包人增加额外检验，承包人应遵照执行。</w:t>
      </w:r>
    </w:p>
    <w:p w14:paraId="1143FAB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2 \* GB2 </w:instrText>
      </w:r>
      <w:r>
        <w:rPr>
          <w:rFonts w:hint="eastAsia" w:ascii="宋体" w:hAnsi="宋体" w:cs="宋体"/>
          <w:sz w:val="22"/>
          <w:highlight w:val="none"/>
        </w:rPr>
        <w:fldChar w:fldCharType="separate"/>
      </w:r>
      <w:r>
        <w:rPr>
          <w:rFonts w:hint="eastAsia" w:ascii="宋体" w:hAnsi="宋体" w:cs="宋体"/>
          <w:sz w:val="22"/>
          <w:highlight w:val="none"/>
        </w:rPr>
        <w:t>⑵</w:t>
      </w:r>
      <w:r>
        <w:rPr>
          <w:rFonts w:hint="eastAsia" w:ascii="宋体" w:hAnsi="宋体" w:cs="宋体"/>
          <w:sz w:val="22"/>
          <w:highlight w:val="none"/>
        </w:rPr>
        <w:fldChar w:fldCharType="end"/>
      </w:r>
      <w:r>
        <w:rPr>
          <w:rFonts w:hint="eastAsia" w:ascii="宋体" w:hAnsi="宋体" w:cs="宋体"/>
          <w:sz w:val="22"/>
          <w:highlight w:val="none"/>
        </w:rPr>
        <w:t xml:space="preserve"> 承包人不按合同相应的规定完成监理人指示的检查和检验工作，监理人可以指派自己的人员或委托其它有资质的检验机构或人员进行检查和检验，承包人不得拒绝，并应提供一切方便。由此增加的费用和工期延误责任由承包人承担。</w:t>
      </w:r>
    </w:p>
    <w:p w14:paraId="1A28A22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3 \* GB2 </w:instrText>
      </w:r>
      <w:r>
        <w:rPr>
          <w:rFonts w:hint="eastAsia" w:ascii="宋体" w:hAnsi="宋体" w:cs="宋体"/>
          <w:sz w:val="22"/>
          <w:highlight w:val="none"/>
        </w:rPr>
        <w:fldChar w:fldCharType="separate"/>
      </w:r>
      <w:r>
        <w:rPr>
          <w:rFonts w:hint="eastAsia" w:ascii="宋体" w:hAnsi="宋体" w:cs="宋体"/>
          <w:sz w:val="22"/>
          <w:highlight w:val="none"/>
        </w:rPr>
        <w:t>⑶</w:t>
      </w:r>
      <w:r>
        <w:rPr>
          <w:rFonts w:hint="eastAsia" w:ascii="宋体" w:hAnsi="宋体" w:cs="宋体"/>
          <w:sz w:val="22"/>
          <w:highlight w:val="none"/>
        </w:rPr>
        <w:fldChar w:fldCharType="end"/>
      </w:r>
      <w:r>
        <w:rPr>
          <w:rFonts w:hint="eastAsia" w:ascii="宋体" w:hAnsi="宋体" w:cs="宋体"/>
          <w:sz w:val="22"/>
          <w:highlight w:val="none"/>
        </w:rPr>
        <w:t xml:space="preserve"> 不论何种原因，若监理人对以往的检验结果有疑问时，可以指示承包人重新检验，承包人不得拒绝。</w:t>
      </w:r>
    </w:p>
    <w:p w14:paraId="70F0E29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14.1.7 发包人人员有权在加工、生产和施工期间（在现场和其他合同规定的范围），对材料和工艺进行检查、检验、测量和试验，并对工程设备的制造和材料的加工生产进度进行检查。</w:t>
      </w:r>
    </w:p>
    <w:p w14:paraId="49690FE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承包人应向发包人人员进行上述活动提供一切机会，包括提供进入条件、设施、许可和安全装备，此类活动不应解除承包人的任何义务和职责。</w:t>
      </w:r>
    </w:p>
    <w:p w14:paraId="10508D1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增加以下1款：</w:t>
      </w:r>
    </w:p>
    <w:p w14:paraId="136FCFA2">
      <w:pPr>
        <w:pStyle w:val="4"/>
        <w:spacing w:before="156" w:beforeLines="50"/>
        <w:rPr>
          <w:rFonts w:hint="eastAsia" w:ascii="宋体" w:hAnsi="宋体" w:cs="宋体"/>
          <w:sz w:val="36"/>
          <w:szCs w:val="28"/>
          <w:highlight w:val="none"/>
        </w:rPr>
      </w:pPr>
      <w:bookmarkStart w:id="566" w:name="_Toc480909993"/>
      <w:r>
        <w:rPr>
          <w:rFonts w:hint="eastAsia" w:ascii="宋体" w:hAnsi="宋体" w:cs="宋体"/>
          <w:sz w:val="36"/>
          <w:szCs w:val="28"/>
          <w:highlight w:val="none"/>
        </w:rPr>
        <w:t>14.4 样品</w:t>
      </w:r>
      <w:bookmarkEnd w:id="566"/>
    </w:p>
    <w:p w14:paraId="2C7E244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承包人应根据合同规定，按照送审程序，自费向发包人提交样品，供其审核。每件样品应标明其原产地、及其在工程中预期的用处。</w:t>
      </w:r>
    </w:p>
    <w:p w14:paraId="2DB53F4C">
      <w:pPr>
        <w:pStyle w:val="3"/>
        <w:spacing w:before="156" w:beforeLines="50" w:after="0" w:line="360" w:lineRule="auto"/>
        <w:rPr>
          <w:rFonts w:hint="eastAsia" w:ascii="宋体" w:hAnsi="宋体" w:cs="宋体"/>
          <w:b w:val="0"/>
          <w:highlight w:val="none"/>
        </w:rPr>
      </w:pPr>
      <w:bookmarkStart w:id="567" w:name="_Toc480909994"/>
      <w:r>
        <w:rPr>
          <w:rFonts w:hint="eastAsia" w:ascii="宋体" w:hAnsi="宋体" w:cs="宋体"/>
          <w:b w:val="0"/>
          <w:highlight w:val="none"/>
        </w:rPr>
        <w:t>15．变更</w:t>
      </w:r>
      <w:bookmarkEnd w:id="567"/>
    </w:p>
    <w:p w14:paraId="636D60C0">
      <w:pPr>
        <w:pStyle w:val="4"/>
        <w:spacing w:before="156" w:beforeLines="50"/>
        <w:rPr>
          <w:rFonts w:hint="eastAsia" w:ascii="宋体" w:hAnsi="宋体" w:cs="宋体"/>
          <w:sz w:val="36"/>
          <w:szCs w:val="28"/>
          <w:highlight w:val="none"/>
        </w:rPr>
      </w:pPr>
      <w:bookmarkStart w:id="568" w:name="_Toc480909995"/>
      <w:r>
        <w:rPr>
          <w:rFonts w:hint="eastAsia" w:ascii="宋体" w:hAnsi="宋体" w:cs="宋体"/>
          <w:sz w:val="36"/>
          <w:szCs w:val="28"/>
          <w:highlight w:val="none"/>
        </w:rPr>
        <w:t>15.1 变更权</w:t>
      </w:r>
      <w:bookmarkEnd w:id="568"/>
    </w:p>
    <w:p w14:paraId="2DBAE51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增加以下内容：</w:t>
      </w:r>
    </w:p>
    <w:p w14:paraId="64A7B5E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在履行合同中发生以下情形之一，应按照本条规定进行变更。</w:t>
      </w:r>
    </w:p>
    <w:p w14:paraId="1B03BC8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⑴ 发包人的技术标准发生变化；</w:t>
      </w:r>
    </w:p>
    <w:p w14:paraId="5E0D1461">
      <w:pPr>
        <w:adjustRightInd w:val="0"/>
        <w:snapToGrid w:val="0"/>
        <w:spacing w:line="360" w:lineRule="auto"/>
        <w:ind w:firstLine="440" w:firstLineChars="200"/>
        <w:rPr>
          <w:rFonts w:hint="eastAsia" w:ascii="宋体" w:hAnsi="宋体" w:cs="宋体"/>
          <w:sz w:val="22"/>
          <w:szCs w:val="24"/>
          <w:highlight w:val="none"/>
        </w:rPr>
      </w:pPr>
      <w:r>
        <w:rPr>
          <w:rFonts w:hint="eastAsia" w:ascii="宋体" w:hAnsi="宋体" w:cs="宋体"/>
          <w:sz w:val="22"/>
          <w:highlight w:val="none"/>
        </w:rPr>
        <w:t xml:space="preserve">⑵ </w:t>
      </w:r>
      <w:r>
        <w:rPr>
          <w:rFonts w:hint="eastAsia" w:ascii="宋体" w:hAnsi="宋体" w:cs="宋体"/>
          <w:sz w:val="22"/>
          <w:szCs w:val="24"/>
          <w:highlight w:val="none"/>
        </w:rPr>
        <w:t>合同承包范围发生变化；</w:t>
      </w:r>
    </w:p>
    <w:p w14:paraId="6479758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其它因承包人的设计错误、设计优化、实施计划等发生的设计和施工实施改变，不计入变更范围，由承包人自费修正，并在履行相应的审批手续后实施。</w:t>
      </w:r>
    </w:p>
    <w:p w14:paraId="36B11574">
      <w:pPr>
        <w:pStyle w:val="4"/>
        <w:spacing w:before="156" w:beforeLines="50"/>
        <w:rPr>
          <w:rFonts w:hint="eastAsia" w:ascii="宋体" w:hAnsi="宋体" w:cs="宋体"/>
          <w:sz w:val="36"/>
          <w:szCs w:val="28"/>
          <w:highlight w:val="none"/>
        </w:rPr>
      </w:pPr>
      <w:r>
        <w:rPr>
          <w:rFonts w:hint="eastAsia" w:ascii="宋体" w:hAnsi="宋体" w:cs="宋体"/>
          <w:sz w:val="36"/>
          <w:szCs w:val="28"/>
          <w:highlight w:val="none"/>
        </w:rPr>
        <w:t>15.2承包人的合理化建议</w:t>
      </w:r>
    </w:p>
    <w:p w14:paraId="569149C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承包人提出的合理化建议降低了合同价格或者提高了工程经济效益的，奖励办法双方另行协商。</w:t>
      </w:r>
    </w:p>
    <w:p w14:paraId="360DAE95">
      <w:pPr>
        <w:pStyle w:val="4"/>
        <w:spacing w:before="156" w:beforeLines="50"/>
        <w:rPr>
          <w:rFonts w:hint="eastAsia" w:ascii="宋体" w:hAnsi="宋体" w:cs="宋体"/>
          <w:sz w:val="36"/>
          <w:szCs w:val="28"/>
          <w:highlight w:val="none"/>
        </w:rPr>
      </w:pPr>
      <w:bookmarkStart w:id="569" w:name="_Toc480909996"/>
      <w:r>
        <w:rPr>
          <w:rFonts w:hint="eastAsia" w:ascii="宋体" w:hAnsi="宋体" w:cs="宋体"/>
          <w:sz w:val="36"/>
          <w:szCs w:val="28"/>
          <w:highlight w:val="none"/>
        </w:rPr>
        <w:t>15.3 变更程序</w:t>
      </w:r>
      <w:bookmarkEnd w:id="569"/>
    </w:p>
    <w:p w14:paraId="09C9501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15.3.2 变更估价</w:t>
      </w:r>
    </w:p>
    <w:p w14:paraId="1C53527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修改为：</w:t>
      </w:r>
    </w:p>
    <w:p w14:paraId="5486420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工程设计变更：承包人在施工中提出的合理化建议涉及到对设计图纸或施工组织设计的更改及对材料、设备的换用，须经监理工程师审核，报发包人批准后以设计变更单的形式通知承包人实施，项目设计变更程序按照《西安高新区市政基础设施建设项目管理细则（暂行）》、《西安高新区市政基础设施建设项目变更签证管理办法（暂行）》执行。否则不作为工程设计变更对待。未经同意擅自更改或换用时，承包人承担由此发生的费用，并赔偿发包人的有关损失，延误的工期不予顺延。</w:t>
      </w:r>
    </w:p>
    <w:p w14:paraId="4032058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其他变更：任何变更的提出都应当依据合同或国家有关规范和标准提出。任何变更都必须取得发包人和监理人的确认，其他变更程序按照《西安高新区市政基础设施建设项目管理细则（暂行）》、《西安高新区市政基础设施建设项目变更签证管理办法（暂行）》执行。</w:t>
      </w:r>
    </w:p>
    <w:p w14:paraId="3B01860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1、由于承包人自身原因引起的设计变更、洽商，其费用由承包人承担，合同价将不做调整。</w:t>
      </w:r>
    </w:p>
    <w:p w14:paraId="5528922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2、正式施工图纸确定后，发包人在施工过程中有权对图纸进行变更。发包人主动发出的变更要求，属于专用条款15.1条规定。</w:t>
      </w:r>
    </w:p>
    <w:p w14:paraId="086C65B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3、承包人在工程变更、签证确定后14天内，提出变更、签证工程价款的报告，经监理工程师确认后调整结算价款。变更、签证合同价款按下列方法确定：</w:t>
      </w:r>
    </w:p>
    <w:p w14:paraId="4CFB59E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（1）经评审的施工图预算中已有适用于变更、签证工程的价格，按相应项目已确认的综合单价办理结算；</w:t>
      </w:r>
    </w:p>
    <w:p w14:paraId="15AEBA2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（2）经评审的施工图预算中只有类似于变更、签证工程的价格，参照类似综合单价进行结算；</w:t>
      </w:r>
    </w:p>
    <w:p w14:paraId="23998AE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经评审的施工图预算中没有适用或类似于工程变更、签证的价格，由承包人按招标文件编制施工图预算综合单价的原则组价，并下浮建安费中标价与建安费上限控制价比率的原则进行调整，经发包人确认后作为结算的依据（认价材料不参与下浮）。</w:t>
      </w:r>
    </w:p>
    <w:p w14:paraId="7C40225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（4）变更、签证工程的措施项目费调整原则按专用条款17.1.（5）条规定执行。</w:t>
      </w:r>
    </w:p>
    <w:p w14:paraId="52751EEC">
      <w:pPr>
        <w:pStyle w:val="3"/>
        <w:spacing w:before="156" w:beforeLines="50" w:after="0" w:line="360" w:lineRule="auto"/>
        <w:rPr>
          <w:rFonts w:hint="eastAsia" w:ascii="宋体" w:hAnsi="宋体" w:cs="宋体"/>
          <w:b w:val="0"/>
          <w:highlight w:val="none"/>
        </w:rPr>
      </w:pPr>
      <w:bookmarkStart w:id="570" w:name="_Toc480909997"/>
      <w:r>
        <w:rPr>
          <w:rFonts w:hint="eastAsia" w:ascii="宋体" w:hAnsi="宋体" w:cs="宋体"/>
          <w:b w:val="0"/>
          <w:highlight w:val="none"/>
        </w:rPr>
        <w:t>16．价格调整</w:t>
      </w:r>
      <w:bookmarkEnd w:id="570"/>
    </w:p>
    <w:p w14:paraId="4F77C86F">
      <w:pPr>
        <w:adjustRightInd w:val="0"/>
        <w:snapToGrid w:val="0"/>
        <w:spacing w:line="360" w:lineRule="auto"/>
        <w:rPr>
          <w:rFonts w:hint="eastAsia" w:ascii="宋体" w:hAnsi="宋体" w:cs="宋体"/>
          <w:sz w:val="22"/>
          <w:highlight w:val="none"/>
        </w:rPr>
      </w:pPr>
      <w:r>
        <w:rPr>
          <w:rFonts w:hint="eastAsia" w:ascii="宋体" w:hAnsi="宋体" w:cs="宋体"/>
          <w:sz w:val="22"/>
          <w:highlight w:val="none"/>
        </w:rPr>
        <w:t>修改为：</w:t>
      </w:r>
    </w:p>
    <w:p w14:paraId="17098815">
      <w:pPr>
        <w:adjustRightInd w:val="0"/>
        <w:snapToGrid w:val="0"/>
        <w:spacing w:line="360" w:lineRule="auto"/>
        <w:ind w:firstLine="440" w:firstLineChars="200"/>
        <w:rPr>
          <w:rFonts w:hint="eastAsia" w:ascii="宋体" w:hAnsi="宋体" w:cs="宋体"/>
          <w:sz w:val="22"/>
          <w:szCs w:val="24"/>
          <w:highlight w:val="none"/>
        </w:rPr>
      </w:pPr>
      <w:r>
        <w:rPr>
          <w:rFonts w:hint="eastAsia" w:ascii="宋体" w:hAnsi="宋体" w:cs="宋体"/>
          <w:sz w:val="22"/>
          <w:highlight w:val="none"/>
        </w:rPr>
        <w:t>（1）承包人投标阶段已熟知项目情况，并根据项目情况等进行了报价。</w:t>
      </w:r>
    </w:p>
    <w:p w14:paraId="1B83BB1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（2）施工过程中若遇到建设行政主管部门发布的政策性调整文件发布时，按文件实施之日起执行。</w:t>
      </w:r>
    </w:p>
    <w:p w14:paraId="5FAFF277">
      <w:pPr>
        <w:adjustRightInd w:val="0"/>
        <w:snapToGrid w:val="0"/>
        <w:spacing w:line="360" w:lineRule="auto"/>
        <w:ind w:firstLine="440" w:firstLineChars="200"/>
        <w:rPr>
          <w:rFonts w:hint="eastAsia" w:ascii="宋体" w:hAnsi="宋体" w:cs="宋体"/>
          <w:sz w:val="22"/>
          <w:szCs w:val="24"/>
          <w:highlight w:val="none"/>
        </w:rPr>
      </w:pPr>
      <w:r>
        <w:rPr>
          <w:rFonts w:hint="eastAsia" w:ascii="宋体" w:hAnsi="宋体" w:cs="宋体"/>
          <w:sz w:val="22"/>
          <w:highlight w:val="none"/>
        </w:rPr>
        <w:t>（3）商品砼市场价中已含运费、泵送费、抗渗费及其它所需添加剂等一切费用。</w:t>
      </w:r>
    </w:p>
    <w:p w14:paraId="6F4036F6">
      <w:pPr>
        <w:adjustRightInd w:val="0"/>
        <w:snapToGrid w:val="0"/>
        <w:spacing w:line="360" w:lineRule="auto"/>
        <w:ind w:firstLine="440" w:firstLineChars="200"/>
        <w:rPr>
          <w:rFonts w:hint="eastAsia" w:ascii="宋体" w:hAnsi="宋体" w:eastAsia="宋体" w:cs="宋体"/>
          <w:sz w:val="22"/>
          <w:highlight w:val="none"/>
        </w:rPr>
      </w:pPr>
      <w:r>
        <w:rPr>
          <w:rFonts w:hint="eastAsia" w:ascii="宋体" w:hAnsi="宋体" w:eastAsia="宋体" w:cs="宋体"/>
          <w:sz w:val="22"/>
          <w:highlight w:val="none"/>
        </w:rPr>
        <w:t>（4）</w:t>
      </w:r>
      <w:bookmarkStart w:id="571" w:name="OLE_LINK3"/>
      <w:r>
        <w:rPr>
          <w:rFonts w:hint="eastAsia" w:ascii="宋体" w:hAnsi="宋体" w:eastAsia="宋体" w:cs="宋体"/>
          <w:sz w:val="22"/>
          <w:highlight w:val="none"/>
        </w:rPr>
        <w:t>若主要材料（钢筋、商砼、沥青混凝土、二灰碎石、水泥稳定碎石、白灰、水泥、石材、人行道砖、管材、电缆、道路沥青）价格在施工期间价格浮动幅度在±5％以内（</w:t>
      </w:r>
      <w:bookmarkStart w:id="572" w:name="OLE_LINK1"/>
      <w:r>
        <w:rPr>
          <w:rFonts w:hint="eastAsia" w:ascii="宋体" w:hAnsi="宋体" w:eastAsia="宋体" w:cs="宋体"/>
          <w:sz w:val="22"/>
          <w:highlight w:val="none"/>
        </w:rPr>
        <w:t>以招标时陕西建设工程材料信息价</w:t>
      </w:r>
      <w:bookmarkStart w:id="573" w:name="OLE_LINK5"/>
      <w:r>
        <w:rPr>
          <w:rFonts w:hint="eastAsia" w:ascii="宋体" w:hAnsi="宋体" w:eastAsia="宋体" w:cs="宋体"/>
          <w:sz w:val="22"/>
          <w:highlight w:val="none"/>
          <w:lang w:val="en-US" w:eastAsia="zh-CN"/>
        </w:rPr>
        <w:t>及市场价</w:t>
      </w:r>
      <w:bookmarkEnd w:id="573"/>
      <w:r>
        <w:rPr>
          <w:rFonts w:hint="eastAsia" w:ascii="宋体" w:hAnsi="宋体" w:eastAsia="宋体" w:cs="宋体"/>
          <w:sz w:val="22"/>
          <w:highlight w:val="none"/>
        </w:rPr>
        <w:t>为基期价格</w:t>
      </w:r>
      <w:bookmarkEnd w:id="572"/>
      <w:r>
        <w:rPr>
          <w:rFonts w:hint="eastAsia" w:ascii="宋体" w:hAnsi="宋体" w:eastAsia="宋体" w:cs="宋体"/>
          <w:sz w:val="22"/>
          <w:highlight w:val="none"/>
        </w:rPr>
        <w:t>，施工时同期陕西建设工程材料信息价</w:t>
      </w:r>
      <w:r>
        <w:rPr>
          <w:rFonts w:hint="eastAsia" w:ascii="宋体" w:hAnsi="宋体" w:eastAsia="宋体" w:cs="宋体"/>
          <w:sz w:val="22"/>
          <w:highlight w:val="none"/>
          <w:lang w:val="en-US" w:eastAsia="zh-CN"/>
        </w:rPr>
        <w:t>及市场价</w:t>
      </w:r>
      <w:r>
        <w:rPr>
          <w:rFonts w:hint="eastAsia" w:ascii="宋体" w:hAnsi="宋体" w:eastAsia="宋体" w:cs="宋体"/>
          <w:sz w:val="22"/>
          <w:highlight w:val="none"/>
        </w:rPr>
        <w:t>与基期价格相比在±5％以内，含±5％）的，承包人承担或受益；如经发包人、监理单位调研确认超过±5％（以招标时陕西建设工程材料信息价</w:t>
      </w:r>
      <w:r>
        <w:rPr>
          <w:rFonts w:hint="eastAsia" w:ascii="宋体" w:hAnsi="宋体" w:eastAsia="宋体" w:cs="宋体"/>
          <w:sz w:val="22"/>
          <w:highlight w:val="none"/>
          <w:lang w:val="en-US" w:eastAsia="zh-CN"/>
        </w:rPr>
        <w:t>及市场价</w:t>
      </w:r>
      <w:r>
        <w:rPr>
          <w:rFonts w:hint="eastAsia" w:ascii="宋体" w:hAnsi="宋体" w:eastAsia="宋体" w:cs="宋体"/>
          <w:sz w:val="22"/>
          <w:highlight w:val="none"/>
        </w:rPr>
        <w:t>为基期价格，施工时同期陕西建设工程材料信息价</w:t>
      </w:r>
      <w:r>
        <w:rPr>
          <w:rFonts w:hint="eastAsia" w:ascii="宋体" w:hAnsi="宋体" w:eastAsia="宋体" w:cs="宋体"/>
          <w:sz w:val="22"/>
          <w:highlight w:val="none"/>
          <w:lang w:val="en-US" w:eastAsia="zh-CN"/>
        </w:rPr>
        <w:t>及市场价</w:t>
      </w:r>
      <w:r>
        <w:rPr>
          <w:rFonts w:hint="eastAsia" w:ascii="宋体" w:hAnsi="宋体" w:eastAsia="宋体" w:cs="宋体"/>
          <w:sz w:val="22"/>
          <w:highlight w:val="none"/>
        </w:rPr>
        <w:t>与基期价格相比超过±5％），则超过±5％的部分由发包人承担或受益（工期内外均按照上述标准执行）。基期价格中无对应材料价格的，</w:t>
      </w:r>
      <w:r>
        <w:rPr>
          <w:rFonts w:hint="eastAsia" w:ascii="宋体" w:hAnsi="宋体" w:eastAsia="宋体" w:cs="宋体"/>
          <w:sz w:val="22"/>
          <w:highlight w:val="none"/>
          <w:lang w:val="en-US" w:eastAsia="zh-CN"/>
        </w:rPr>
        <w:t>由承包人申请，发包人认质认价，并作为竣工结算计价的依据，</w:t>
      </w:r>
      <w:r>
        <w:rPr>
          <w:rFonts w:hint="eastAsia" w:ascii="宋体" w:hAnsi="宋体" w:eastAsia="宋体" w:cs="宋体"/>
          <w:sz w:val="22"/>
          <w:highlight w:val="none"/>
        </w:rPr>
        <w:t>除上述材料外，其余所有材料设备价格均不调整。超过部分的材料价格结算时进行调整，由发包人承担，差额部分只计取税金。</w:t>
      </w:r>
    </w:p>
    <w:bookmarkEnd w:id="571"/>
    <w:p w14:paraId="7E96AE3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施工图审查完成后，承包人应及时编制施工图预算。建安工程的施工图预算造价应小于经相关单位批准的设计概算造价中的建安工程费用及投标报价。建安工程的施工图预算如超过经相关单位批准的设计概算造价中的建安工程费用，承包人应在满足设计任务书要求的前提下自行优化施工图，直至施工图预算造价符合要求为止。该施工图预算作为进度款支付的依据。</w:t>
      </w:r>
    </w:p>
    <w:p w14:paraId="42098DDB">
      <w:pPr>
        <w:adjustRightInd w:val="0"/>
        <w:snapToGrid w:val="0"/>
        <w:spacing w:line="360" w:lineRule="auto"/>
        <w:ind w:firstLine="440" w:firstLineChars="200"/>
        <w:rPr>
          <w:rFonts w:hint="eastAsia" w:ascii="宋体" w:hAnsi="宋体" w:cs="宋体"/>
          <w:sz w:val="22"/>
          <w:szCs w:val="24"/>
          <w:highlight w:val="none"/>
        </w:rPr>
      </w:pPr>
      <w:r>
        <w:rPr>
          <w:rFonts w:hint="eastAsia" w:ascii="宋体" w:hAnsi="宋体" w:cs="宋体"/>
          <w:sz w:val="22"/>
          <w:highlight w:val="none"/>
        </w:rPr>
        <w:t>（6）垃圾外运暂按全费用单价</w:t>
      </w:r>
      <w:r>
        <w:rPr>
          <w:rFonts w:hint="eastAsia" w:ascii="宋体" w:hAnsi="宋体" w:cs="宋体"/>
          <w:sz w:val="22"/>
          <w:highlight w:val="none"/>
          <w:lang w:val="en-US" w:eastAsia="zh-CN"/>
        </w:rPr>
        <w:t>130</w:t>
      </w:r>
      <w:r>
        <w:rPr>
          <w:rFonts w:hint="eastAsia" w:ascii="宋体" w:hAnsi="宋体" w:cs="宋体"/>
          <w:sz w:val="22"/>
          <w:highlight w:val="none"/>
        </w:rPr>
        <w:t>元/立方米计入合同价款，最终应以发包人认价为准。（认价时需提供土方运距测量表及经高新区建筑垃圾管理办公室批准的建筑垃圾清运登记卡）。施工过程中产生的垃圾外运需按要求及时办理垃圾倾倒无违规证明等相关文件，若因未办理相关文件造成工程无法按时结算，由此造成的损失由承包人自行承担。</w:t>
      </w:r>
    </w:p>
    <w:p w14:paraId="16064595">
      <w:pPr>
        <w:pStyle w:val="3"/>
        <w:numPr>
          <w:ilvl w:val="0"/>
          <w:numId w:val="4"/>
        </w:numPr>
        <w:spacing w:before="156" w:beforeLines="50" w:after="0" w:line="360" w:lineRule="auto"/>
        <w:rPr>
          <w:rFonts w:hint="eastAsia" w:ascii="宋体" w:hAnsi="宋体" w:cs="宋体"/>
          <w:b w:val="0"/>
          <w:highlight w:val="none"/>
        </w:rPr>
      </w:pPr>
      <w:bookmarkStart w:id="574" w:name="_Toc480909998"/>
      <w:r>
        <w:rPr>
          <w:rFonts w:hint="eastAsia" w:ascii="宋体" w:hAnsi="宋体" w:cs="宋体"/>
          <w:b w:val="0"/>
          <w:highlight w:val="none"/>
        </w:rPr>
        <w:t>合同价格与支付</w:t>
      </w:r>
      <w:bookmarkEnd w:id="574"/>
    </w:p>
    <w:p w14:paraId="0113D901">
      <w:pPr>
        <w:pStyle w:val="4"/>
        <w:spacing w:before="156" w:beforeLines="50"/>
        <w:rPr>
          <w:rFonts w:hint="eastAsia" w:ascii="宋体" w:hAnsi="宋体" w:cs="宋体"/>
          <w:sz w:val="36"/>
          <w:szCs w:val="28"/>
          <w:highlight w:val="none"/>
        </w:rPr>
      </w:pPr>
      <w:r>
        <w:rPr>
          <w:rFonts w:hint="eastAsia" w:ascii="宋体" w:hAnsi="宋体" w:cs="宋体"/>
          <w:sz w:val="36"/>
          <w:szCs w:val="28"/>
          <w:highlight w:val="none"/>
        </w:rPr>
        <w:t>17.1合同价格</w:t>
      </w:r>
    </w:p>
    <w:p w14:paraId="53AB2A1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修改为：</w:t>
      </w:r>
    </w:p>
    <w:p w14:paraId="7D4F1C6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1、合同价格：（小写）¥</w:t>
      </w:r>
      <w:r>
        <w:rPr>
          <w:rFonts w:hint="eastAsia" w:ascii="宋体" w:hAnsi="宋体" w:cs="宋体"/>
          <w:sz w:val="22"/>
          <w:highlight w:val="none"/>
          <w:u w:val="single"/>
        </w:rPr>
        <w:t xml:space="preserve"> 279481371.66 </w:t>
      </w:r>
      <w:r>
        <w:rPr>
          <w:rFonts w:hint="eastAsia" w:ascii="宋体" w:hAnsi="宋体" w:cs="宋体"/>
          <w:sz w:val="22"/>
          <w:highlight w:val="none"/>
        </w:rPr>
        <w:t>元（大写）</w:t>
      </w:r>
      <w:r>
        <w:rPr>
          <w:rFonts w:hint="eastAsia" w:ascii="宋体" w:hAnsi="宋体" w:cs="宋体"/>
          <w:sz w:val="22"/>
          <w:highlight w:val="none"/>
          <w:u w:val="single"/>
        </w:rPr>
        <w:t>贰亿柒仟玖佰肆拾捌万壹仟叁佰柒拾壹元陆角陆分</w:t>
      </w:r>
      <w:r>
        <w:rPr>
          <w:rFonts w:hint="eastAsia" w:ascii="宋体" w:hAnsi="宋体" w:cs="宋体"/>
          <w:sz w:val="22"/>
          <w:highlight w:val="none"/>
        </w:rPr>
        <w:t>。</w:t>
      </w:r>
    </w:p>
    <w:p w14:paraId="77B63D3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（1）设计费：采用暂定价款，工程设计费为人民币（大写）：</w:t>
      </w:r>
      <w:r>
        <w:rPr>
          <w:rFonts w:hint="eastAsia" w:ascii="宋体" w:hAnsi="宋体" w:cs="宋体"/>
          <w:sz w:val="22"/>
          <w:highlight w:val="none"/>
          <w:u w:val="single"/>
        </w:rPr>
        <w:t xml:space="preserve"> </w:t>
      </w:r>
      <w:r>
        <w:rPr>
          <w:rFonts w:hint="eastAsia" w:ascii="宋体" w:hAnsi="宋体" w:cs="宋体"/>
          <w:sz w:val="22"/>
          <w:highlight w:val="none"/>
          <w:u w:val="single"/>
          <w:lang w:val="en-US" w:eastAsia="zh-CN"/>
        </w:rPr>
        <w:t>伍佰壹拾玖万捌仟捌佰陆拾贰元壹角柒分</w:t>
      </w:r>
      <w:r>
        <w:rPr>
          <w:rFonts w:hint="eastAsia" w:ascii="宋体" w:hAnsi="宋体" w:cs="宋体"/>
          <w:sz w:val="22"/>
          <w:highlight w:val="none"/>
          <w:u w:val="single"/>
        </w:rPr>
        <w:t xml:space="preserve"> </w:t>
      </w:r>
      <w:r>
        <w:rPr>
          <w:rFonts w:hint="eastAsia" w:ascii="宋体" w:hAnsi="宋体" w:cs="宋体"/>
          <w:sz w:val="22"/>
          <w:highlight w:val="none"/>
        </w:rPr>
        <w:t>（小写金额：</w:t>
      </w:r>
      <w:r>
        <w:rPr>
          <w:rFonts w:hint="eastAsia" w:ascii="宋体" w:hAnsi="宋体" w:cs="宋体"/>
          <w:sz w:val="22"/>
          <w:highlight w:val="none"/>
          <w:u w:val="single"/>
        </w:rPr>
        <w:t xml:space="preserve">5198862.17 </w:t>
      </w:r>
      <w:r>
        <w:rPr>
          <w:rFonts w:hint="eastAsia" w:ascii="宋体" w:hAnsi="宋体" w:cs="宋体"/>
          <w:sz w:val="22"/>
          <w:highlight w:val="none"/>
        </w:rPr>
        <w:t>元）。</w:t>
      </w:r>
    </w:p>
    <w:p w14:paraId="13215D7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设计费费率为：</w:t>
      </w:r>
      <w:r>
        <w:rPr>
          <w:rFonts w:hint="eastAsia" w:ascii="宋体" w:hAnsi="宋体" w:cs="宋体"/>
          <w:sz w:val="22"/>
          <w:highlight w:val="none"/>
          <w:u w:val="single"/>
        </w:rPr>
        <w:t xml:space="preserve"> 1.965% </w:t>
      </w:r>
      <w:r>
        <w:rPr>
          <w:rFonts w:hint="eastAsia" w:ascii="宋体" w:hAnsi="宋体" w:cs="宋体"/>
          <w:sz w:val="22"/>
          <w:highlight w:val="none"/>
        </w:rPr>
        <w:t>，设计费中标价/建筑安装工程费最高限价</w:t>
      </w:r>
      <w:r>
        <w:rPr>
          <w:rFonts w:hint="eastAsia" w:ascii="宋体" w:hAnsi="宋体" w:cs="宋体"/>
          <w:sz w:val="22"/>
          <w:highlight w:val="none"/>
          <w:u w:val="single"/>
        </w:rPr>
        <w:t xml:space="preserve">26452.50 </w:t>
      </w:r>
      <w:r>
        <w:rPr>
          <w:rFonts w:hint="eastAsia" w:ascii="宋体" w:hAnsi="宋体" w:cs="宋体"/>
          <w:sz w:val="22"/>
          <w:highlight w:val="none"/>
        </w:rPr>
        <w:t>万元×100%</w:t>
      </w:r>
    </w:p>
    <w:p w14:paraId="1335825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设计费的结算价格=最终审定的建筑安装工程结算价×设计费费率。</w:t>
      </w:r>
    </w:p>
    <w:p w14:paraId="2A793A8D">
      <w:pPr>
        <w:numPr>
          <w:ilvl w:val="0"/>
          <w:numId w:val="2"/>
        </w:num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建筑安装工程费：采用暂定价款，暂定为人民币（大写）：</w:t>
      </w:r>
      <w:r>
        <w:rPr>
          <w:rFonts w:hint="eastAsia" w:ascii="宋体" w:hAnsi="宋体" w:cs="宋体"/>
          <w:sz w:val="22"/>
          <w:highlight w:val="none"/>
          <w:u w:val="single"/>
        </w:rPr>
        <w:t xml:space="preserve"> </w:t>
      </w:r>
      <w:r>
        <w:rPr>
          <w:rFonts w:hint="eastAsia" w:ascii="宋体" w:hAnsi="宋体" w:cs="宋体"/>
          <w:sz w:val="22"/>
          <w:highlight w:val="none"/>
          <w:u w:val="single"/>
          <w:lang w:val="en-US" w:eastAsia="zh-CN"/>
        </w:rPr>
        <w:t>贰亿伍仟陆佰柒拾肆万玖仟捌佰壹拾壹元肆角玖分</w:t>
      </w:r>
      <w:r>
        <w:rPr>
          <w:rFonts w:hint="eastAsia" w:ascii="宋体" w:hAnsi="宋体" w:cs="宋体"/>
          <w:sz w:val="22"/>
          <w:highlight w:val="none"/>
          <w:u w:val="single"/>
        </w:rPr>
        <w:t xml:space="preserve"> </w:t>
      </w:r>
      <w:r>
        <w:rPr>
          <w:rFonts w:hint="eastAsia" w:ascii="宋体" w:hAnsi="宋体" w:cs="宋体"/>
          <w:sz w:val="22"/>
          <w:highlight w:val="none"/>
        </w:rPr>
        <w:t>（小写金额：</w:t>
      </w:r>
      <w:r>
        <w:rPr>
          <w:rFonts w:hint="eastAsia" w:ascii="宋体" w:hAnsi="宋体" w:cs="宋体"/>
          <w:sz w:val="22"/>
          <w:highlight w:val="none"/>
          <w:u w:val="single"/>
        </w:rPr>
        <w:t xml:space="preserve"> 256749811.49 </w:t>
      </w:r>
      <w:r>
        <w:rPr>
          <w:rFonts w:hint="eastAsia" w:ascii="宋体" w:hAnsi="宋体" w:cs="宋体"/>
          <w:sz w:val="22"/>
          <w:highlight w:val="none"/>
        </w:rPr>
        <w:t>元）。</w:t>
      </w:r>
    </w:p>
    <w:p w14:paraId="2D7A64F8">
      <w:pPr>
        <w:pStyle w:val="7"/>
        <w:ind w:firstLine="440" w:firstLineChars="200"/>
        <w:rPr>
          <w:rFonts w:hint="eastAsia"/>
          <w:sz w:val="22"/>
          <w:szCs w:val="22"/>
          <w:highlight w:val="none"/>
          <w:lang w:val="en-US" w:bidi="ar-SA"/>
        </w:rPr>
      </w:pPr>
      <w:r>
        <w:rPr>
          <w:rFonts w:hint="eastAsia"/>
          <w:sz w:val="22"/>
          <w:szCs w:val="22"/>
          <w:highlight w:val="none"/>
          <w:lang w:val="en-US" w:bidi="ar-SA"/>
        </w:rPr>
        <w:t>建筑安装工程费费率=97.061％，建筑安装工程费的中标价/建筑安装工程费最高限价（26452.50万元）×100%。</w:t>
      </w:r>
    </w:p>
    <w:p w14:paraId="47E69FEA">
      <w:pPr>
        <w:pStyle w:val="7"/>
        <w:ind w:firstLine="440" w:firstLineChars="200"/>
        <w:rPr>
          <w:rFonts w:hint="eastAsia"/>
          <w:sz w:val="22"/>
          <w:szCs w:val="22"/>
          <w:highlight w:val="none"/>
        </w:rPr>
      </w:pPr>
      <w:r>
        <w:rPr>
          <w:rFonts w:hint="eastAsia"/>
          <w:sz w:val="22"/>
          <w:szCs w:val="22"/>
          <w:highlight w:val="none"/>
          <w:lang w:val="en-US" w:bidi="ar-SA"/>
        </w:rPr>
        <w:t>最终建筑安装工程费结算总价=最终审定的建筑安装工程结算价×建筑安装工程费费率。</w:t>
      </w:r>
      <w:r>
        <w:rPr>
          <w:rFonts w:hint="eastAsia"/>
          <w:sz w:val="22"/>
          <w:szCs w:val="22"/>
          <w:highlight w:val="none"/>
        </w:rPr>
        <w:softHyphen/>
      </w:r>
      <w:r>
        <w:rPr>
          <w:rFonts w:hint="eastAsia"/>
          <w:sz w:val="22"/>
          <w:szCs w:val="22"/>
          <w:highlight w:val="none"/>
        </w:rPr>
        <w:softHyphen/>
      </w:r>
    </w:p>
    <w:p w14:paraId="7E7CF2D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具体计价方式如下：</w:t>
      </w:r>
    </w:p>
    <w:p w14:paraId="77325E1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①计价模式：采用工程量清单计价。</w:t>
      </w:r>
    </w:p>
    <w:p w14:paraId="692D184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②计价依据：1、《陕西省建设工程工程量清单计价计算标准（DB 61/T5126-2025）》</w:t>
      </w:r>
      <w:r>
        <w:rPr>
          <w:rFonts w:hint="eastAsia" w:ascii="宋体" w:hAnsi="宋体" w:cs="宋体"/>
          <w:sz w:val="22"/>
          <w:highlight w:val="none"/>
          <w:lang w:eastAsia="zh-CN"/>
        </w:rPr>
        <w:t>、</w:t>
      </w:r>
      <w:r>
        <w:rPr>
          <w:rFonts w:hint="eastAsia" w:ascii="宋体" w:hAnsi="宋体" w:cs="宋体"/>
          <w:sz w:val="22"/>
          <w:highlight w:val="none"/>
        </w:rPr>
        <w:t>《陕西省建设工程费用规则(2025)》及相关配套文件；</w:t>
      </w:r>
    </w:p>
    <w:p w14:paraId="2DB8820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2、《陕西省房屋建筑与装饰工程基价表(2025)》</w:t>
      </w:r>
      <w:r>
        <w:rPr>
          <w:rFonts w:hint="eastAsia" w:ascii="宋体" w:hAnsi="宋体" w:cs="宋体"/>
          <w:sz w:val="22"/>
          <w:highlight w:val="none"/>
          <w:lang w:eastAsia="zh-CN"/>
        </w:rPr>
        <w:t>、</w:t>
      </w:r>
      <w:r>
        <w:rPr>
          <w:rFonts w:hint="eastAsia" w:ascii="宋体" w:hAnsi="宋体" w:cs="宋体"/>
          <w:sz w:val="22"/>
          <w:highlight w:val="none"/>
        </w:rPr>
        <w:t>《陕西省通用安装工程基价表(2025)》</w:t>
      </w:r>
      <w:r>
        <w:rPr>
          <w:rFonts w:hint="eastAsia" w:ascii="宋体" w:hAnsi="宋体" w:cs="宋体"/>
          <w:sz w:val="22"/>
          <w:highlight w:val="none"/>
          <w:lang w:eastAsia="zh-CN"/>
        </w:rPr>
        <w:t>、</w:t>
      </w:r>
      <w:r>
        <w:rPr>
          <w:rFonts w:hint="eastAsia" w:ascii="宋体" w:hAnsi="宋体" w:cs="宋体"/>
          <w:sz w:val="22"/>
          <w:highlight w:val="none"/>
        </w:rPr>
        <w:t>《陕西省市政工程基价表(2025)》</w:t>
      </w:r>
      <w:r>
        <w:rPr>
          <w:rFonts w:hint="eastAsia" w:ascii="宋体" w:hAnsi="宋体" w:cs="宋体"/>
          <w:sz w:val="22"/>
          <w:highlight w:val="none"/>
          <w:lang w:eastAsia="zh-CN"/>
        </w:rPr>
        <w:t>、</w:t>
      </w:r>
      <w:r>
        <w:rPr>
          <w:rFonts w:hint="eastAsia" w:ascii="宋体" w:hAnsi="宋体" w:cs="宋体"/>
          <w:sz w:val="22"/>
          <w:highlight w:val="none"/>
        </w:rPr>
        <w:t>《陕西省园林绿化工程基价表(2025)》</w:t>
      </w:r>
      <w:r>
        <w:rPr>
          <w:rFonts w:hint="eastAsia" w:ascii="宋体" w:hAnsi="宋体" w:cs="宋体"/>
          <w:sz w:val="22"/>
          <w:highlight w:val="none"/>
          <w:lang w:eastAsia="zh-CN"/>
        </w:rPr>
        <w:t>、</w:t>
      </w:r>
      <w:r>
        <w:rPr>
          <w:rFonts w:hint="eastAsia" w:ascii="宋体" w:hAnsi="宋体" w:cs="宋体"/>
          <w:sz w:val="22"/>
          <w:highlight w:val="none"/>
        </w:rPr>
        <w:t>《陕西省绿色建筑工程基价表(2025)》</w:t>
      </w:r>
      <w:r>
        <w:rPr>
          <w:rFonts w:hint="eastAsia" w:ascii="宋体" w:hAnsi="宋体" w:cs="宋体"/>
          <w:sz w:val="22"/>
          <w:highlight w:val="none"/>
          <w:lang w:eastAsia="zh-CN"/>
        </w:rPr>
        <w:t>、</w:t>
      </w:r>
      <w:r>
        <w:rPr>
          <w:rFonts w:hint="eastAsia" w:ascii="宋体" w:hAnsi="宋体" w:cs="宋体"/>
          <w:sz w:val="22"/>
          <w:highlight w:val="none"/>
        </w:rPr>
        <w:t xml:space="preserve">《陕西省房屋建筑与装饰工程消耗量定额(2025)》 </w:t>
      </w:r>
      <w:r>
        <w:rPr>
          <w:rFonts w:hint="eastAsia" w:ascii="宋体" w:hAnsi="宋体" w:cs="宋体"/>
          <w:sz w:val="22"/>
          <w:highlight w:val="none"/>
          <w:lang w:eastAsia="zh-CN"/>
        </w:rPr>
        <w:t>、</w:t>
      </w:r>
      <w:r>
        <w:rPr>
          <w:rFonts w:hint="eastAsia" w:ascii="宋体" w:hAnsi="宋体" w:cs="宋体"/>
          <w:sz w:val="22"/>
          <w:highlight w:val="none"/>
        </w:rPr>
        <w:t>《陕西省通用安装工程消耗量定额(2025)》《陕西省市政工程消耗量定额(2025)》</w:t>
      </w:r>
      <w:r>
        <w:rPr>
          <w:rFonts w:hint="eastAsia" w:ascii="宋体" w:hAnsi="宋体" w:cs="宋体"/>
          <w:sz w:val="22"/>
          <w:highlight w:val="none"/>
          <w:lang w:eastAsia="zh-CN"/>
        </w:rPr>
        <w:t>、</w:t>
      </w:r>
      <w:r>
        <w:rPr>
          <w:rFonts w:hint="eastAsia" w:ascii="宋体" w:hAnsi="宋体" w:cs="宋体"/>
          <w:sz w:val="22"/>
          <w:highlight w:val="none"/>
        </w:rPr>
        <w:t>《陕西省园林绿化工程消耗量定额(2025)》</w:t>
      </w:r>
      <w:r>
        <w:rPr>
          <w:rFonts w:hint="eastAsia" w:ascii="宋体" w:hAnsi="宋体" w:cs="宋体"/>
          <w:sz w:val="22"/>
          <w:highlight w:val="none"/>
          <w:lang w:eastAsia="zh-CN"/>
        </w:rPr>
        <w:t>、</w:t>
      </w:r>
      <w:r>
        <w:rPr>
          <w:rFonts w:hint="eastAsia" w:ascii="宋体" w:hAnsi="宋体" w:cs="宋体"/>
          <w:sz w:val="22"/>
          <w:highlight w:val="none"/>
        </w:rPr>
        <w:t>《陕西省绿色建筑工程消耗量定额(2025)》</w:t>
      </w:r>
      <w:r>
        <w:rPr>
          <w:rFonts w:hint="eastAsia" w:ascii="宋体" w:hAnsi="宋体" w:cs="宋体"/>
          <w:sz w:val="22"/>
          <w:highlight w:val="none"/>
          <w:lang w:eastAsia="zh-CN"/>
        </w:rPr>
        <w:t>、</w:t>
      </w:r>
      <w:r>
        <w:rPr>
          <w:rFonts w:hint="eastAsia" w:ascii="宋体" w:hAnsi="宋体" w:cs="宋体"/>
          <w:sz w:val="22"/>
          <w:highlight w:val="none"/>
        </w:rPr>
        <w:t>《陕西省建设工程施工机械台班费用定额(2025)》</w:t>
      </w:r>
      <w:r>
        <w:rPr>
          <w:rFonts w:hint="eastAsia" w:ascii="宋体" w:hAnsi="宋体" w:cs="宋体"/>
          <w:sz w:val="22"/>
          <w:highlight w:val="none"/>
          <w:lang w:eastAsia="zh-CN"/>
        </w:rPr>
        <w:t>、</w:t>
      </w:r>
      <w:r>
        <w:rPr>
          <w:rFonts w:hint="eastAsia" w:ascii="宋体" w:hAnsi="宋体" w:cs="宋体"/>
          <w:sz w:val="22"/>
          <w:highlight w:val="none"/>
        </w:rPr>
        <w:t>《陕西省建设工程施工仪器仪表台班费用定额(2025)》等。</w:t>
      </w:r>
    </w:p>
    <w:p w14:paraId="448BF30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工程实施期间如遇陕西省造价管理部门颁布新的建设工程计价标准和规则，将按新的计价标准和规则调整工程施工费用。</w:t>
      </w:r>
    </w:p>
    <w:p w14:paraId="7524D61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取费费率执行《陕西省建设工程费用规则(2025)》及相关配套文件的相关规定费率。</w:t>
      </w:r>
    </w:p>
    <w:p w14:paraId="77989CB2">
      <w:pPr>
        <w:numPr>
          <w:ilvl w:val="0"/>
          <w:numId w:val="2"/>
        </w:numPr>
        <w:adjustRightInd w:val="0"/>
        <w:snapToGrid w:val="0"/>
        <w:spacing w:line="360" w:lineRule="auto"/>
        <w:ind w:left="0" w:leftChars="0" w:firstLine="440" w:firstLineChars="200"/>
        <w:rPr>
          <w:rFonts w:hint="eastAsia" w:ascii="宋体" w:hAnsi="宋体" w:cs="宋体"/>
          <w:sz w:val="22"/>
          <w:highlight w:val="none"/>
          <w:lang w:eastAsia="zh-CN"/>
        </w:rPr>
      </w:pPr>
      <w:r>
        <w:rPr>
          <w:rFonts w:hint="eastAsia" w:ascii="宋体" w:hAnsi="宋体" w:cs="宋体"/>
          <w:sz w:val="22"/>
          <w:highlight w:val="none"/>
        </w:rPr>
        <w:t>场地准备及临时设施费</w:t>
      </w:r>
      <w:r>
        <w:rPr>
          <w:rFonts w:hint="eastAsia" w:ascii="宋体" w:hAnsi="宋体" w:cs="宋体"/>
          <w:sz w:val="22"/>
          <w:highlight w:val="none"/>
          <w:lang w:eastAsia="zh-CN"/>
        </w:rPr>
        <w:t>：人民币(大写):</w:t>
      </w:r>
      <w:r>
        <w:rPr>
          <w:rFonts w:hint="eastAsia" w:ascii="宋体" w:hAnsi="宋体" w:cs="宋体"/>
          <w:sz w:val="22"/>
          <w:highlight w:val="none"/>
          <w:lang w:val="en-US" w:eastAsia="zh-CN"/>
        </w:rPr>
        <w:t xml:space="preserve"> 壹佰叁拾贰万贰仟陆佰元零角零分 </w:t>
      </w:r>
      <w:r>
        <w:rPr>
          <w:rFonts w:hint="eastAsia" w:ascii="宋体" w:hAnsi="宋体" w:cs="宋体"/>
          <w:sz w:val="22"/>
          <w:highlight w:val="none"/>
          <w:lang w:eastAsia="zh-CN"/>
        </w:rPr>
        <w:t>(小写金额:</w:t>
      </w:r>
      <w:r>
        <w:rPr>
          <w:rFonts w:hint="eastAsia" w:ascii="宋体" w:hAnsi="宋体" w:cs="宋体"/>
          <w:sz w:val="22"/>
          <w:highlight w:val="none"/>
          <w:lang w:val="en-US" w:eastAsia="zh-CN"/>
        </w:rPr>
        <w:t xml:space="preserve"> 1322600.00 </w:t>
      </w:r>
      <w:r>
        <w:rPr>
          <w:rFonts w:hint="eastAsia" w:ascii="宋体" w:hAnsi="宋体" w:cs="宋体"/>
          <w:sz w:val="22"/>
          <w:highlight w:val="none"/>
          <w:lang w:eastAsia="zh-CN"/>
        </w:rPr>
        <w:t>元)。</w:t>
      </w:r>
    </w:p>
    <w:p w14:paraId="199C845D">
      <w:pPr>
        <w:numPr>
          <w:ilvl w:val="0"/>
          <w:numId w:val="2"/>
        </w:numPr>
        <w:adjustRightInd w:val="0"/>
        <w:snapToGrid w:val="0"/>
        <w:spacing w:line="360" w:lineRule="auto"/>
        <w:ind w:left="0" w:leftChars="0" w:firstLine="440" w:firstLineChars="200"/>
        <w:rPr>
          <w:rFonts w:hint="eastAsia" w:ascii="宋体" w:hAnsi="宋体" w:cs="宋体"/>
          <w:sz w:val="22"/>
          <w:highlight w:val="none"/>
          <w:lang w:eastAsia="zh-CN"/>
        </w:rPr>
      </w:pPr>
      <w:r>
        <w:rPr>
          <w:rFonts w:hint="eastAsia" w:ascii="宋体" w:hAnsi="宋体" w:cs="宋体"/>
          <w:sz w:val="22"/>
          <w:highlight w:val="none"/>
          <w:lang w:eastAsia="zh-CN"/>
        </w:rPr>
        <w:t>预备费:人民币(大写):</w:t>
      </w:r>
      <w:r>
        <w:rPr>
          <w:rFonts w:hint="eastAsia" w:ascii="宋体" w:hAnsi="宋体" w:cs="宋体"/>
          <w:sz w:val="22"/>
          <w:highlight w:val="none"/>
          <w:lang w:val="en-US" w:eastAsia="zh-CN"/>
        </w:rPr>
        <w:t xml:space="preserve"> 壹仟陆佰贰拾壹万零玖拾捌元零角零分 </w:t>
      </w:r>
      <w:r>
        <w:rPr>
          <w:rFonts w:hint="eastAsia" w:ascii="宋体" w:hAnsi="宋体" w:cs="宋体"/>
          <w:sz w:val="22"/>
          <w:highlight w:val="none"/>
          <w:lang w:eastAsia="zh-CN"/>
        </w:rPr>
        <w:t>(小写金额:</w:t>
      </w:r>
      <w:r>
        <w:rPr>
          <w:rFonts w:hint="eastAsia" w:ascii="宋体" w:hAnsi="宋体" w:cs="宋体"/>
          <w:sz w:val="22"/>
          <w:highlight w:val="none"/>
          <w:lang w:val="en-US" w:eastAsia="zh-CN"/>
        </w:rPr>
        <w:t xml:space="preserve"> 16210098.00 </w:t>
      </w:r>
      <w:r>
        <w:rPr>
          <w:rFonts w:hint="eastAsia" w:ascii="宋体" w:hAnsi="宋体" w:cs="宋体"/>
          <w:sz w:val="22"/>
          <w:highlight w:val="none"/>
          <w:lang w:eastAsia="zh-CN"/>
        </w:rPr>
        <w:t>元)。</w:t>
      </w:r>
    </w:p>
    <w:p w14:paraId="37F92BB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w:t>
      </w:r>
      <w:r>
        <w:rPr>
          <w:rFonts w:hint="eastAsia" w:ascii="宋体" w:hAnsi="宋体" w:cs="宋体"/>
          <w:sz w:val="22"/>
          <w:highlight w:val="none"/>
          <w:lang w:val="en-US" w:eastAsia="zh-CN"/>
        </w:rPr>
        <w:t>5</w:t>
      </w:r>
      <w:r>
        <w:rPr>
          <w:rFonts w:hint="eastAsia" w:ascii="宋体" w:hAnsi="宋体" w:cs="宋体"/>
          <w:sz w:val="22"/>
          <w:highlight w:val="none"/>
        </w:rPr>
        <w:t>）关于材料、设备的价格约定：</w:t>
      </w:r>
    </w:p>
    <w:p w14:paraId="12489BB0">
      <w:pPr>
        <w:adjustRightInd w:val="0"/>
        <w:snapToGrid w:val="0"/>
        <w:spacing w:line="360" w:lineRule="auto"/>
        <w:ind w:firstLine="440" w:firstLineChars="200"/>
        <w:rPr>
          <w:rFonts w:hint="eastAsia" w:ascii="宋体" w:hAnsi="宋体" w:cs="宋体"/>
          <w:sz w:val="22"/>
          <w:highlight w:val="none"/>
        </w:rPr>
      </w:pPr>
      <w:bookmarkStart w:id="575" w:name="OLE_LINK2"/>
      <w:r>
        <w:rPr>
          <w:rFonts w:hint="eastAsia" w:ascii="宋体" w:hAnsi="宋体" w:cs="宋体"/>
          <w:sz w:val="22"/>
          <w:highlight w:val="none"/>
        </w:rPr>
        <w:t>本工程材料设备基期价格依据</w:t>
      </w:r>
      <w:r>
        <w:rPr>
          <w:rFonts w:hint="eastAsia" w:ascii="宋体" w:hAnsi="宋体" w:cs="宋体"/>
          <w:sz w:val="22"/>
          <w:highlight w:val="none"/>
          <w:lang w:val="en-US" w:eastAsia="zh-CN"/>
        </w:rPr>
        <w:t>招标</w:t>
      </w:r>
      <w:r>
        <w:rPr>
          <w:rFonts w:hint="eastAsia" w:ascii="宋体" w:hAnsi="宋体" w:cs="宋体"/>
          <w:sz w:val="22"/>
          <w:highlight w:val="none"/>
        </w:rPr>
        <w:t>当期执行《陕西工程造价信息》西安地区价格及市场价。</w:t>
      </w:r>
      <w:bookmarkEnd w:id="575"/>
    </w:p>
    <w:p w14:paraId="72381BB2">
      <w:pPr>
        <w:adjustRightInd w:val="0"/>
        <w:snapToGrid w:val="0"/>
        <w:spacing w:line="360" w:lineRule="auto"/>
        <w:ind w:firstLine="442" w:firstLineChars="200"/>
        <w:rPr>
          <w:rFonts w:hint="eastAsia" w:ascii="宋体" w:hAnsi="宋体" w:cs="宋体"/>
          <w:b/>
          <w:bCs/>
          <w:sz w:val="22"/>
          <w:highlight w:val="none"/>
        </w:rPr>
      </w:pPr>
      <w:r>
        <w:rPr>
          <w:rFonts w:hint="eastAsia" w:ascii="宋体" w:hAnsi="宋体" w:cs="宋体"/>
          <w:b/>
          <w:bCs/>
          <w:sz w:val="22"/>
          <w:highlight w:val="none"/>
        </w:rPr>
        <w:t>承包人应按照代建单位材料封样有关规定进行材料封样。</w:t>
      </w:r>
    </w:p>
    <w:p w14:paraId="4285F2BD">
      <w:pPr>
        <w:adjustRightInd w:val="0"/>
        <w:snapToGrid w:val="0"/>
        <w:spacing w:line="360" w:lineRule="auto"/>
        <w:ind w:firstLine="440" w:firstLineChars="200"/>
        <w:rPr>
          <w:rFonts w:hint="eastAsia" w:ascii="宋体" w:hAnsi="宋体" w:cs="宋体"/>
          <w:b/>
          <w:bCs/>
          <w:sz w:val="22"/>
          <w:highlight w:val="none"/>
        </w:rPr>
      </w:pPr>
      <w:r>
        <w:rPr>
          <w:rFonts w:hint="eastAsia" w:ascii="宋体" w:hAnsi="宋体" w:cs="宋体"/>
          <w:sz w:val="22"/>
          <w:highlight w:val="none"/>
        </w:rPr>
        <w:t>（</w:t>
      </w:r>
      <w:r>
        <w:rPr>
          <w:rFonts w:hint="eastAsia" w:ascii="宋体" w:hAnsi="宋体" w:cs="宋体"/>
          <w:sz w:val="22"/>
          <w:highlight w:val="none"/>
          <w:lang w:val="en-US" w:eastAsia="zh-CN"/>
        </w:rPr>
        <w:t>6</w:t>
      </w:r>
      <w:r>
        <w:rPr>
          <w:rFonts w:hint="eastAsia" w:ascii="宋体" w:hAnsi="宋体" w:cs="宋体"/>
          <w:sz w:val="22"/>
          <w:highlight w:val="none"/>
        </w:rPr>
        <w:t>）措施费调整原则：措施项目清单中，定额明确的费率计价项的措施费根据规定费率结算；非费率计价项中的模板措施费，根据砼结算工程量据实计算；其他非费率计价项措施费，承包人编制实施方案且经监理人、发包人审批后据实结算。</w:t>
      </w:r>
    </w:p>
    <w:p w14:paraId="143B00D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w:t>
      </w:r>
      <w:r>
        <w:rPr>
          <w:rFonts w:hint="eastAsia" w:ascii="宋体" w:hAnsi="宋体" w:cs="宋体"/>
          <w:sz w:val="22"/>
          <w:highlight w:val="none"/>
          <w:lang w:val="en-US" w:eastAsia="zh-CN"/>
        </w:rPr>
        <w:t>7</w:t>
      </w:r>
      <w:r>
        <w:rPr>
          <w:rFonts w:hint="eastAsia" w:ascii="宋体" w:hAnsi="宋体" w:cs="宋体"/>
          <w:sz w:val="22"/>
          <w:highlight w:val="none"/>
        </w:rPr>
        <w:t>）建筑安装工程费结算价款</w:t>
      </w:r>
    </w:p>
    <w:p w14:paraId="0FA504DB">
      <w:pPr>
        <w:adjustRightInd w:val="0"/>
        <w:snapToGrid w:val="0"/>
        <w:spacing w:line="360" w:lineRule="auto"/>
        <w:ind w:firstLine="440" w:firstLineChars="200"/>
        <w:rPr>
          <w:rFonts w:hint="eastAsia" w:ascii="宋体" w:hAnsi="宋体" w:cs="宋体"/>
          <w:sz w:val="22"/>
          <w:highlight w:val="none"/>
        </w:rPr>
      </w:pPr>
      <w:r>
        <w:rPr>
          <w:rFonts w:hint="eastAsia" w:ascii="宋体" w:hAnsi="宋体" w:eastAsia="宋体" w:cs="宋体"/>
          <w:sz w:val="22"/>
          <w:highlight w:val="none"/>
        </w:rPr>
        <w:t>工程量依据竣工图据实结算，结算送审综合单价依据经评审或核对后的施工图预算的综合单价及合同约定价格调整有关条款进行计算及送审。最终结算价款以发包人按有关程序报送结算评审审定结果为准。因承包人原因引起的设计变更、签证等增加的费用在结算时不予计算</w:t>
      </w:r>
      <w:r>
        <w:rPr>
          <w:rFonts w:hint="eastAsia" w:ascii="宋体" w:hAnsi="宋体" w:cs="宋体"/>
          <w:sz w:val="22"/>
          <w:highlight w:val="none"/>
        </w:rPr>
        <w:t>。</w:t>
      </w:r>
    </w:p>
    <w:p w14:paraId="3B336F8C">
      <w:pPr>
        <w:numPr>
          <w:ilvl w:val="0"/>
          <w:numId w:val="0"/>
        </w:num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kern w:val="2"/>
          <w:sz w:val="22"/>
          <w:szCs w:val="24"/>
          <w:lang w:val="en-US" w:eastAsia="zh-CN" w:bidi="ar-SA"/>
        </w:rPr>
        <w:t>（8）</w:t>
      </w:r>
      <w:r>
        <w:rPr>
          <w:rFonts w:hint="eastAsia" w:ascii="宋体" w:hAnsi="宋体" w:cs="宋体"/>
          <w:sz w:val="22"/>
          <w:highlight w:val="none"/>
        </w:rPr>
        <w:t>文物勘察与发掘费、材料试验检验费、施工图及勘察文件审查费、沉降观测费不在本次合同范围，由发包人另行委托第三方完成。</w:t>
      </w:r>
    </w:p>
    <w:p w14:paraId="03F66400">
      <w:pPr>
        <w:numPr>
          <w:ilvl w:val="0"/>
          <w:numId w:val="0"/>
        </w:num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kern w:val="2"/>
          <w:sz w:val="22"/>
          <w:szCs w:val="24"/>
          <w:lang w:val="en-US" w:eastAsia="zh-CN" w:bidi="ar-SA"/>
        </w:rPr>
        <w:t>（9）</w:t>
      </w:r>
      <w:r>
        <w:rPr>
          <w:rFonts w:hint="eastAsia" w:ascii="宋体" w:hAnsi="宋体" w:cs="宋体"/>
          <w:sz w:val="22"/>
          <w:highlight w:val="none"/>
        </w:rPr>
        <w:t>建筑业劳动保险费用行业统筹费，根据《陕西省建筑业劳动保险费用行业统筹管理办法》、《陕西省住房和城乡建设厅关于加强建筑行业养老保险缴费用和养老保险费用计价监管有关事项的通知》陕建发【2021】61号等相关规定执行。</w:t>
      </w:r>
    </w:p>
    <w:p w14:paraId="7BA1B9A3">
      <w:pPr>
        <w:adjustRightInd w:val="0"/>
        <w:snapToGrid w:val="0"/>
        <w:spacing w:line="360" w:lineRule="auto"/>
        <w:rPr>
          <w:rFonts w:hint="eastAsia" w:ascii="宋体" w:hAnsi="宋体" w:cs="宋体"/>
          <w:sz w:val="22"/>
          <w:highlight w:val="none"/>
        </w:rPr>
      </w:pPr>
      <w:r>
        <w:rPr>
          <w:rFonts w:hint="eastAsia" w:ascii="宋体" w:hAnsi="宋体" w:cs="宋体"/>
          <w:sz w:val="22"/>
          <w:highlight w:val="none"/>
        </w:rPr>
        <w:t xml:space="preserve"> 2、合同价款的支付</w:t>
      </w:r>
    </w:p>
    <w:p w14:paraId="640BD57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（1）施工图设计付款方式：①施工图交付且通过审查或审批后支付设计合同价的</w:t>
      </w:r>
      <w:r>
        <w:rPr>
          <w:rFonts w:hint="eastAsia" w:ascii="宋体" w:hAnsi="宋体" w:cs="宋体"/>
          <w:sz w:val="22"/>
          <w:highlight w:val="none"/>
          <w:lang w:val="en-US" w:eastAsia="zh-CN"/>
        </w:rPr>
        <w:t>7</w:t>
      </w:r>
      <w:r>
        <w:rPr>
          <w:rFonts w:hint="eastAsia" w:ascii="宋体" w:hAnsi="宋体" w:cs="宋体"/>
          <w:sz w:val="22"/>
          <w:highlight w:val="none"/>
        </w:rPr>
        <w:t>0%（可按照完成的设计工程量分段预支付）；②工程完工并完成施工期设计变更、专项深化设计、分部分项验收等工作后支付设计合同价的</w:t>
      </w:r>
      <w:r>
        <w:rPr>
          <w:rFonts w:hint="eastAsia" w:ascii="宋体" w:hAnsi="宋体" w:cs="宋体"/>
          <w:sz w:val="22"/>
          <w:highlight w:val="none"/>
          <w:lang w:val="en-US" w:eastAsia="zh-CN"/>
        </w:rPr>
        <w:t>2</w:t>
      </w:r>
      <w:r>
        <w:rPr>
          <w:rFonts w:hint="eastAsia" w:ascii="宋体" w:hAnsi="宋体" w:cs="宋体"/>
          <w:sz w:val="22"/>
          <w:highlight w:val="none"/>
        </w:rPr>
        <w:t>0%；③工程结算审核后支付剩余设计合同价款。</w:t>
      </w:r>
    </w:p>
    <w:p w14:paraId="4B3319F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（2）建筑安装工程费付款方式：</w:t>
      </w:r>
    </w:p>
    <w:p w14:paraId="5C00092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①安全文明施工措施费支付：安全文明施工措施费在监理工程师签发开工令，发包人审核确认后，承包人提交安全文明实施细则后，发包人审核确认后，发包人</w:t>
      </w:r>
      <w:r>
        <w:rPr>
          <w:rFonts w:hint="eastAsia" w:ascii="宋体" w:hAnsi="宋体" w:cs="宋体"/>
          <w:sz w:val="22"/>
          <w:highlight w:val="none"/>
          <w:lang w:val="en-US" w:eastAsia="zh-CN"/>
        </w:rPr>
        <w:t>开工前</w:t>
      </w:r>
      <w:r>
        <w:rPr>
          <w:rFonts w:hint="eastAsia" w:ascii="宋体" w:hAnsi="宋体" w:cs="宋体"/>
          <w:sz w:val="22"/>
          <w:highlight w:val="none"/>
        </w:rPr>
        <w:t>按照项目单项工程一次性足额支付安全防护、文明施工措施费（中标价中扣除暂列金后计取的安全防护、文明施工措施费）。安全文明措施费承包人需专款专用，不得挪用。</w:t>
      </w:r>
    </w:p>
    <w:p w14:paraId="423FA31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补充：</w:t>
      </w:r>
    </w:p>
    <w:p w14:paraId="027F8C74">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关于安全防护、文明施工措施费的其他约定如下：</w:t>
      </w:r>
    </w:p>
    <w:p w14:paraId="46514088">
      <w:pPr>
        <w:spacing w:line="360" w:lineRule="auto"/>
        <w:ind w:firstLine="440" w:firstLineChars="200"/>
        <w:rPr>
          <w:rFonts w:hint="eastAsia" w:ascii="宋体" w:hAnsi="宋体" w:cs="宋体"/>
          <w:sz w:val="22"/>
          <w:highlight w:val="none"/>
        </w:rPr>
      </w:pPr>
      <w:r>
        <w:rPr>
          <w:rFonts w:hint="eastAsia" w:ascii="宋体" w:hAnsi="宋体" w:cs="宋体"/>
          <w:sz w:val="22"/>
          <w:highlight w:val="none"/>
          <w:lang w:val="en-US" w:eastAsia="zh-CN"/>
        </w:rPr>
        <w:t>1.</w:t>
      </w:r>
      <w:r>
        <w:rPr>
          <w:rFonts w:hint="eastAsia" w:ascii="宋体" w:hAnsi="宋体" w:cs="宋体"/>
          <w:sz w:val="22"/>
          <w:highlight w:val="none"/>
        </w:rPr>
        <w:t>承包人需提供安全防护、文明施工措施费的支付计划和落实情况，经发包人核实后作为支付文明施工费用的依据。</w:t>
      </w:r>
    </w:p>
    <w:p w14:paraId="7B665B6B">
      <w:pPr>
        <w:spacing w:line="360" w:lineRule="auto"/>
        <w:ind w:firstLine="440" w:firstLineChars="200"/>
        <w:rPr>
          <w:rFonts w:hint="eastAsia" w:ascii="宋体" w:hAnsi="宋体" w:cs="宋体"/>
          <w:sz w:val="22"/>
          <w:highlight w:val="none"/>
        </w:rPr>
      </w:pPr>
      <w:r>
        <w:rPr>
          <w:rFonts w:hint="eastAsia" w:ascii="宋体" w:hAnsi="宋体" w:cs="宋体"/>
          <w:sz w:val="22"/>
          <w:highlight w:val="none"/>
          <w:lang w:val="en-US" w:eastAsia="zh-CN"/>
        </w:rPr>
        <w:t>2.</w:t>
      </w:r>
      <w:r>
        <w:rPr>
          <w:rFonts w:hint="eastAsia" w:ascii="宋体" w:hAnsi="宋体" w:cs="宋体"/>
          <w:sz w:val="22"/>
          <w:highlight w:val="none"/>
        </w:rPr>
        <w:t>工程师对承包人落实安全防护、文明施工措施情况进行现场管理。若发现承包人未落实安全防护、文明施工措施的，有权责令其立即整改。</w:t>
      </w:r>
    </w:p>
    <w:p w14:paraId="413BD349">
      <w:pPr>
        <w:spacing w:line="360" w:lineRule="auto"/>
        <w:ind w:firstLine="440" w:firstLineChars="200"/>
        <w:rPr>
          <w:rFonts w:hint="eastAsia" w:ascii="宋体" w:hAnsi="宋体" w:cs="宋体"/>
          <w:sz w:val="22"/>
          <w:highlight w:val="none"/>
        </w:rPr>
      </w:pPr>
      <w:r>
        <w:rPr>
          <w:rFonts w:hint="eastAsia" w:ascii="宋体" w:hAnsi="宋体" w:cs="宋体"/>
          <w:sz w:val="22"/>
          <w:highlight w:val="none"/>
          <w:lang w:val="en-US" w:eastAsia="zh-CN"/>
        </w:rPr>
        <w:t>3.</w:t>
      </w:r>
      <w:r>
        <w:rPr>
          <w:rFonts w:hint="eastAsia" w:ascii="宋体" w:hAnsi="宋体" w:cs="宋体"/>
          <w:sz w:val="22"/>
          <w:highlight w:val="none"/>
        </w:rPr>
        <w:t>发包人和承包人应在财务管理中单独列支防护文明施工措施费项目费用的支付情况。</w:t>
      </w:r>
    </w:p>
    <w:p w14:paraId="1EAB1381">
      <w:pPr>
        <w:spacing w:line="360" w:lineRule="auto"/>
        <w:ind w:firstLine="440" w:firstLineChars="200"/>
        <w:rPr>
          <w:rFonts w:hint="eastAsia" w:ascii="宋体" w:hAnsi="宋体" w:cs="宋体"/>
          <w:sz w:val="22"/>
          <w:highlight w:val="none"/>
        </w:rPr>
      </w:pPr>
      <w:r>
        <w:rPr>
          <w:rFonts w:hint="eastAsia" w:ascii="宋体" w:hAnsi="宋体" w:cs="宋体"/>
          <w:sz w:val="22"/>
          <w:highlight w:val="none"/>
          <w:lang w:val="en-US" w:eastAsia="zh-CN"/>
        </w:rPr>
        <w:t>①</w:t>
      </w:r>
      <w:r>
        <w:rPr>
          <w:rFonts w:hint="eastAsia" w:ascii="宋体" w:hAnsi="宋体" w:cs="宋体"/>
          <w:sz w:val="22"/>
          <w:highlight w:val="none"/>
        </w:rPr>
        <w:t>工程款付至建安合同价减去未发生的暂列金额及已支付的安全文明施工措施费用后的80%时暂停支付，工程竣工验收合格、出具验收证书，并经发包人结算评审程序审核后出具工程结算报告，承包人向发包人提供结算金额全额的增值税普通发票，待管委会确认后支付至建筑安装工程费结算款的97%,剩余3%作为保修金，竣工验收合格，缺陷责任期满后无息退还（扣除相关应扣费用）。对于发包人已代承包人缴纳的相关税费应在进度款计算过程中扣除。</w:t>
      </w:r>
    </w:p>
    <w:p w14:paraId="6502031C">
      <w:pPr>
        <w:spacing w:line="360" w:lineRule="auto"/>
        <w:ind w:firstLine="440" w:firstLineChars="200"/>
        <w:rPr>
          <w:rFonts w:hint="eastAsia" w:ascii="宋体" w:hAnsi="宋体" w:cs="宋体"/>
          <w:sz w:val="22"/>
          <w:highlight w:val="none"/>
        </w:rPr>
      </w:pPr>
      <w:bookmarkStart w:id="576" w:name="OLE_LINK17"/>
      <w:r>
        <w:rPr>
          <w:rFonts w:hint="eastAsia" w:ascii="宋体" w:hAnsi="宋体" w:cs="宋体"/>
          <w:sz w:val="22"/>
          <w:highlight w:val="none"/>
          <w:lang w:val="en-US" w:eastAsia="zh-CN"/>
        </w:rPr>
        <w:t>1.</w:t>
      </w:r>
      <w:r>
        <w:rPr>
          <w:rFonts w:hint="eastAsia" w:ascii="宋体" w:hAnsi="宋体" w:cs="宋体"/>
          <w:sz w:val="22"/>
          <w:highlight w:val="none"/>
        </w:rPr>
        <w:t>按月进度支付。承包人每月25日向监理工程师上报本月完成的工程量及其造价，承包人按月申报的进度产值并经监理工程师和发包人审核确认金额后，作为施工进度付款依据</w:t>
      </w:r>
      <w:r>
        <w:rPr>
          <w:rFonts w:hint="eastAsia" w:ascii="宋体" w:hAnsi="宋体" w:cs="宋体"/>
          <w:sz w:val="22"/>
          <w:highlight w:val="none"/>
          <w:lang w:eastAsia="zh-CN"/>
        </w:rPr>
        <w:t>，</w:t>
      </w:r>
      <w:r>
        <w:rPr>
          <w:rFonts w:hint="eastAsia" w:ascii="宋体" w:hAnsi="宋体" w:cs="宋体"/>
          <w:sz w:val="22"/>
          <w:highlight w:val="none"/>
          <w:lang w:val="en-US" w:eastAsia="zh-CN"/>
        </w:rPr>
        <w:t>发包</w:t>
      </w:r>
      <w:r>
        <w:rPr>
          <w:rFonts w:hint="eastAsia" w:ascii="宋体" w:hAnsi="宋体" w:cs="宋体"/>
          <w:sz w:val="22"/>
          <w:highlight w:val="none"/>
          <w:lang w:eastAsia="zh-CN"/>
        </w:rPr>
        <w:t>人在收到该申请后14天内核对完毕，并在收到进度款申请的14天内批准，发包人按支付程序向承包人支付本月经审核进度款总额的80%。</w:t>
      </w:r>
      <w:r>
        <w:rPr>
          <w:rFonts w:hint="eastAsia" w:ascii="宋体" w:hAnsi="宋体" w:cs="宋体"/>
          <w:sz w:val="22"/>
          <w:highlight w:val="none"/>
        </w:rPr>
        <w:t>对于发包人已代承包人缴纳的相关税费应在进度款计算过程中扣除。该月若发生发包人代缴的相关费用（如水、电费等）从工程进度款中扣除。</w:t>
      </w:r>
      <w:bookmarkEnd w:id="576"/>
    </w:p>
    <w:p w14:paraId="29C679EC">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进度款计算时，除安全文明施工费外的措施项目费用按进度款中分部分项费用占中标报价中相应款项的比例分摊，但暂列金额部分、专业暂估价部分（即发包人划定分包及划定供应单位的款项）不作阶段支付的计算基数；由于其它零星项目等所需增加的支付款项，统一在结算时支付。</w:t>
      </w:r>
    </w:p>
    <w:p w14:paraId="6D3C8509">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当施工中发现不合格项目时，承包人应及时进行整改，同时将整改措施以书面形式报送工程师存档备案。对质量不合格的项目，承包人应无条件进行返工，待整改完成验收合格后，当月支付该项目工程款。</w:t>
      </w:r>
    </w:p>
    <w:p w14:paraId="55A5AE0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因为发包人暂时性的资金困难而延期付款，不须支付延期付款利息，承包人保证不依此为理由而影响工程施工的正常进行。若因承包人原因完成合格工程产值不足计划进度的80%时，发包人保留解除合同将未完工程发包给第三方的权利，由此对发包人造成的损失由承包人承担。</w:t>
      </w:r>
    </w:p>
    <w:p w14:paraId="70572090">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报送阶段进度款时，应附本阶段经检验合格并经计量确认的工程量及经审核的施工图预算综合单价，并提供下阶段进度计划和资金计划。</w:t>
      </w:r>
    </w:p>
    <w:p w14:paraId="24ACC93F">
      <w:pPr>
        <w:spacing w:line="360" w:lineRule="auto"/>
        <w:ind w:firstLine="440" w:firstLineChars="200"/>
        <w:rPr>
          <w:rFonts w:hint="eastAsia" w:ascii="宋体" w:hAnsi="宋体" w:eastAsia="宋体" w:cs="宋体"/>
          <w:sz w:val="22"/>
          <w:highlight w:val="none"/>
          <w:lang w:eastAsia="zh-CN"/>
        </w:rPr>
      </w:pPr>
      <w:r>
        <w:rPr>
          <w:rFonts w:hint="eastAsia" w:ascii="宋体" w:hAnsi="宋体" w:cs="宋体"/>
          <w:sz w:val="22"/>
          <w:highlight w:val="none"/>
          <w:lang w:val="en-US" w:eastAsia="zh-CN"/>
        </w:rPr>
        <w:t>2.</w:t>
      </w:r>
      <w:r>
        <w:rPr>
          <w:rFonts w:hint="eastAsia" w:ascii="宋体" w:hAnsi="宋体" w:cs="宋体"/>
          <w:sz w:val="22"/>
          <w:highlight w:val="none"/>
        </w:rPr>
        <w:t>变更导致的项目新增工程量在工程进度款</w:t>
      </w:r>
      <w:r>
        <w:rPr>
          <w:rFonts w:hint="eastAsia" w:ascii="宋体" w:hAnsi="宋体" w:eastAsia="宋体" w:cs="宋体"/>
          <w:sz w:val="22"/>
          <w:highlight w:val="none"/>
        </w:rPr>
        <w:t>中不予计入</w:t>
      </w:r>
      <w:r>
        <w:rPr>
          <w:rFonts w:hint="eastAsia" w:ascii="宋体" w:hAnsi="宋体" w:eastAsia="宋体" w:cs="宋体"/>
          <w:sz w:val="22"/>
          <w:highlight w:val="none"/>
          <w:lang w:eastAsia="zh-CN"/>
        </w:rPr>
        <w:t>，</w:t>
      </w:r>
      <w:r>
        <w:rPr>
          <w:rFonts w:hint="eastAsia" w:ascii="宋体" w:hAnsi="宋体" w:eastAsia="宋体" w:cs="宋体"/>
          <w:sz w:val="22"/>
          <w:highlight w:val="none"/>
        </w:rPr>
        <w:t>按照《西安高新区市政基础设施建设项目管理细则（暂行）》、《西安高新区市政基础设施建设项目变更签证管理办法（暂行）》执行</w:t>
      </w:r>
      <w:r>
        <w:rPr>
          <w:rFonts w:hint="eastAsia" w:ascii="宋体" w:hAnsi="宋体" w:eastAsia="宋体" w:cs="宋体"/>
          <w:sz w:val="22"/>
          <w:highlight w:val="none"/>
          <w:lang w:eastAsia="zh-CN"/>
        </w:rPr>
        <w:t>。</w:t>
      </w:r>
    </w:p>
    <w:p w14:paraId="0DA4D7B5">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如承包人不按发包人要求报送施工月进度表，发包人将不予支付当月工程进度款，由此造成的工期延误等由承包人承担全部责任。</w:t>
      </w:r>
    </w:p>
    <w:p w14:paraId="4669EBD3">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每次付款前，承包人应按经监理人和发包人审核确认后的月度施工进度产值金额开具增值税普通发票；完成合同结算后，承包人应提供结算金额的全额增值税普通发票（税款应缴纳到项目所在区税务局）。承包人未能提供发票的，发包人有权拒绝付款并不承担任何责任。</w:t>
      </w:r>
    </w:p>
    <w:p w14:paraId="011FB83A">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暂列金额为招标人为可能发生不可预见因素而预留的款项，若发生按实计取。若不发生，在结算时应扣除该部分费用及其相应的规费、安全文明施工措施费、税金等全部金额。</w:t>
      </w:r>
    </w:p>
    <w:p w14:paraId="4F1F188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③绿化栽植工程完工并经完工验收合格，余款根据苗木成活率支付，苗木成活率需符合《城市绿化工程施工及验收规范》（CJJ-82-2012），即：1、乔灌木的成活率应达到95%以上，珍贵树种、孤植树应保证成活；2、花卉种植地应无杂草、无枯黄，各种花卉生长茂盛，种植成活率应达到95%以上；3、草坪无杂草、无枯黄、无病虫害，覆盖率应达到95%以上；4、绿地整洁，表面平整；5、植物材料的整形修剪应符合设计要求；6、绿地附属设施工程的质量验收应符合《建筑安装工程质量检验评定统一标准》GBJ301的有关规定。</w:t>
      </w:r>
    </w:p>
    <w:p w14:paraId="2806CF7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绿化工程施工完成，验收合格后，结算通过结算审核双方无异议后28个工作日，付至绿化工程结算款扣除相关费用后金额的80%，待高新区管委会审计审定结算金额后，养护期满若苗木成活率符合要求，一次性付清应付款。</w:t>
      </w:r>
    </w:p>
    <w:p w14:paraId="602DF034">
      <w:pPr>
        <w:adjustRightInd w:val="0"/>
        <w:snapToGrid w:val="0"/>
        <w:spacing w:line="360" w:lineRule="auto"/>
        <w:ind w:firstLine="440" w:firstLineChars="200"/>
        <w:rPr>
          <w:rFonts w:hint="eastAsia" w:ascii="宋体" w:hAnsi="宋体" w:cs="宋体"/>
          <w:b/>
          <w:bCs/>
          <w:sz w:val="22"/>
          <w:highlight w:val="none"/>
        </w:rPr>
      </w:pPr>
      <w:r>
        <w:rPr>
          <w:rFonts w:hint="eastAsia" w:ascii="宋体" w:hAnsi="宋体" w:cs="宋体"/>
          <w:sz w:val="22"/>
          <w:highlight w:val="none"/>
        </w:rPr>
        <w:t>④剩余工程余款支付，待高新区管委会审计审定结算金额后，承包人提供结算金额全额的增值税普通发票，发包人支付至合同结算款扣除相关费用后金额的97%。剩余3%作为保修金，竣工验收合格2年</w:t>
      </w:r>
      <w:r>
        <w:rPr>
          <w:rFonts w:hint="eastAsia" w:ascii="宋体" w:hAnsi="宋体" w:cs="宋体"/>
          <w:sz w:val="22"/>
          <w:highlight w:val="none"/>
          <w:lang w:eastAsia="zh-CN"/>
        </w:rPr>
        <w:t>，</w:t>
      </w:r>
      <w:r>
        <w:rPr>
          <w:rFonts w:hint="eastAsia" w:ascii="宋体" w:hAnsi="宋体" w:eastAsia="宋体" w:cs="宋体"/>
          <w:sz w:val="22"/>
          <w:highlight w:val="none"/>
        </w:rPr>
        <w:t>完成质保验收工作后支付（</w:t>
      </w:r>
      <w:r>
        <w:rPr>
          <w:rFonts w:hint="eastAsia" w:ascii="宋体" w:hAnsi="宋体" w:cs="宋体"/>
          <w:sz w:val="22"/>
          <w:highlight w:val="none"/>
        </w:rPr>
        <w:t>扣除相关应扣费用）</w:t>
      </w:r>
      <w:r>
        <w:rPr>
          <w:rFonts w:hint="eastAsia" w:ascii="宋体" w:hAnsi="宋体" w:cs="宋体"/>
          <w:b/>
          <w:bCs/>
          <w:sz w:val="22"/>
          <w:highlight w:val="none"/>
        </w:rPr>
        <w:t>。</w:t>
      </w:r>
    </w:p>
    <w:p w14:paraId="587F75C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⑤发包人每次付款前，承包人应按经监理人和发包人审核确认后的月度施工进度产值金额开具增值税普通发票；完成合同结算后，承包人应提供结算金额的全额增值税普通发票（税款应缴纳到</w:t>
      </w:r>
      <w:r>
        <w:rPr>
          <w:rFonts w:hint="eastAsia" w:ascii="宋体" w:hAnsi="宋体" w:cs="宋体"/>
          <w:sz w:val="22"/>
          <w:szCs w:val="21"/>
          <w:highlight w:val="none"/>
          <w:u w:val="single"/>
        </w:rPr>
        <w:t>项目所在</w:t>
      </w:r>
      <w:r>
        <w:rPr>
          <w:rFonts w:hint="eastAsia" w:ascii="宋体" w:hAnsi="宋体" w:cs="宋体"/>
          <w:sz w:val="22"/>
          <w:highlight w:val="none"/>
        </w:rPr>
        <w:t>区税务局）。承包人若违反本合同第一部分第四条约定的，承包人需向发包人支付合同价款5%的违约金。</w:t>
      </w:r>
    </w:p>
    <w:p w14:paraId="02375160">
      <w:pPr>
        <w:adjustRightInd w:val="0"/>
        <w:snapToGrid w:val="0"/>
        <w:spacing w:line="360" w:lineRule="auto"/>
        <w:ind w:firstLine="440" w:firstLineChars="200"/>
        <w:rPr>
          <w:rFonts w:hint="eastAsia" w:ascii="宋体" w:hAnsi="宋体" w:eastAsia="宋体" w:cs="宋体"/>
          <w:sz w:val="22"/>
          <w:highlight w:val="none"/>
        </w:rPr>
      </w:pPr>
      <w:r>
        <w:rPr>
          <w:rFonts w:hint="eastAsia" w:ascii="宋体" w:hAnsi="宋体" w:cs="宋体"/>
          <w:sz w:val="22"/>
          <w:szCs w:val="24"/>
          <w:highlight w:val="none"/>
          <w:lang w:val="en-US" w:eastAsia="zh-CN"/>
        </w:rPr>
        <w:t>⑥</w:t>
      </w:r>
      <w:r>
        <w:rPr>
          <w:rFonts w:hint="eastAsia" w:ascii="宋体" w:hAnsi="宋体" w:cs="宋体"/>
          <w:sz w:val="22"/>
          <w:szCs w:val="24"/>
          <w:highlight w:val="none"/>
        </w:rPr>
        <w:t>设计费付款由发包人直接支付给设计单位（即广州地铁设计研究院股份有限公司），由设计单位提供符合发包人要求的</w:t>
      </w:r>
      <w:r>
        <w:rPr>
          <w:rFonts w:hint="eastAsia" w:ascii="宋体" w:hAnsi="宋体" w:eastAsia="宋体" w:cs="宋体"/>
          <w:sz w:val="22"/>
          <w:highlight w:val="none"/>
        </w:rPr>
        <w:t>增值税普通发票。</w:t>
      </w:r>
    </w:p>
    <w:p w14:paraId="08068051">
      <w:pPr>
        <w:adjustRightInd w:val="0"/>
        <w:snapToGrid w:val="0"/>
        <w:spacing w:line="360" w:lineRule="auto"/>
        <w:ind w:firstLine="220" w:firstLineChars="100"/>
        <w:rPr>
          <w:rFonts w:hint="eastAsia" w:ascii="宋体" w:hAnsi="宋体" w:eastAsia="宋体" w:cs="宋体"/>
          <w:sz w:val="22"/>
          <w:highlight w:val="none"/>
        </w:rPr>
      </w:pPr>
      <w:r>
        <w:rPr>
          <w:rFonts w:hint="eastAsia" w:ascii="宋体" w:hAnsi="宋体" w:eastAsia="宋体" w:cs="宋体"/>
          <w:sz w:val="22"/>
          <w:highlight w:val="none"/>
        </w:rPr>
        <w:t>（3）场地准备及临时设施费：按甲方现场实际要求进行施工，跟随同期进度款报送，经监理工程师和发包人审核确认金额后，按照进度款支付比例同当期进度款一并支付。如未发生该笔费用，结算时予以扣除。</w:t>
      </w:r>
    </w:p>
    <w:p w14:paraId="19C0F5DB">
      <w:pPr>
        <w:pStyle w:val="4"/>
        <w:spacing w:before="156" w:beforeLines="50"/>
        <w:rPr>
          <w:rFonts w:hint="eastAsia" w:ascii="宋体" w:hAnsi="宋体" w:eastAsia="宋体" w:cs="宋体"/>
          <w:b/>
          <w:bCs/>
          <w:sz w:val="36"/>
          <w:szCs w:val="28"/>
          <w:highlight w:val="none"/>
          <w:lang w:val="en-US" w:eastAsia="zh-CN"/>
        </w:rPr>
      </w:pPr>
      <w:r>
        <w:rPr>
          <w:rFonts w:hint="eastAsia" w:ascii="宋体" w:hAnsi="宋体" w:eastAsia="宋体" w:cs="宋体"/>
          <w:b/>
          <w:bCs/>
          <w:sz w:val="36"/>
          <w:szCs w:val="28"/>
          <w:highlight w:val="none"/>
        </w:rPr>
        <w:t>1</w:t>
      </w:r>
      <w:r>
        <w:rPr>
          <w:rFonts w:hint="eastAsia" w:ascii="宋体" w:hAnsi="宋体" w:eastAsia="宋体" w:cs="宋体"/>
          <w:b/>
          <w:bCs/>
          <w:sz w:val="36"/>
          <w:szCs w:val="28"/>
          <w:highlight w:val="none"/>
          <w:lang w:val="en-US" w:eastAsia="zh-CN"/>
        </w:rPr>
        <w:t>7</w:t>
      </w:r>
      <w:r>
        <w:rPr>
          <w:rFonts w:hint="eastAsia" w:ascii="宋体" w:hAnsi="宋体" w:eastAsia="宋体" w:cs="宋体"/>
          <w:b/>
          <w:bCs/>
          <w:sz w:val="36"/>
          <w:szCs w:val="28"/>
          <w:highlight w:val="none"/>
        </w:rPr>
        <w:t xml:space="preserve">.2 </w:t>
      </w:r>
      <w:r>
        <w:rPr>
          <w:rFonts w:hint="eastAsia" w:ascii="宋体" w:hAnsi="宋体" w:eastAsia="宋体" w:cs="宋体"/>
          <w:b/>
          <w:bCs/>
          <w:sz w:val="36"/>
          <w:szCs w:val="28"/>
          <w:highlight w:val="none"/>
          <w:lang w:val="en-US" w:eastAsia="zh-CN"/>
        </w:rPr>
        <w:t>预付款</w:t>
      </w:r>
    </w:p>
    <w:p w14:paraId="08EA298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修改为：</w:t>
      </w:r>
    </w:p>
    <w:p w14:paraId="08066D0D">
      <w:pPr>
        <w:spacing w:line="360" w:lineRule="auto"/>
        <w:ind w:firstLine="440" w:firstLineChars="200"/>
        <w:rPr>
          <w:rFonts w:hint="eastAsia"/>
          <w:sz w:val="28"/>
          <w:szCs w:val="24"/>
          <w:highlight w:val="none"/>
          <w:u w:val="single"/>
        </w:rPr>
      </w:pPr>
      <w:r>
        <w:rPr>
          <w:rFonts w:hint="eastAsia" w:ascii="宋体" w:hAnsi="宋体" w:cs="宋体"/>
          <w:sz w:val="22"/>
          <w:highlight w:val="none"/>
        </w:rPr>
        <w:t>预付款的金额为：在承包人完成开工准备（人、材、机等满足开工需要）后，由承包人提出预付款支付申请，发包人应在双方签订合同后的1个月内或不迟于开工前7天预付工程款，发包人根据工程实际开工的单项工程向承包人支付相应价款（扣除暂列金额、安全防护、文明施工措施费）10%的工程预付款。</w:t>
      </w:r>
    </w:p>
    <w:p w14:paraId="1F30E03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预付款支付</w:t>
      </w:r>
      <w:r>
        <w:rPr>
          <w:rFonts w:hint="eastAsia" w:ascii="宋体" w:hAnsi="宋体" w:cs="宋体"/>
          <w:sz w:val="22"/>
          <w:highlight w:val="none"/>
          <w:lang w:val="en-US" w:eastAsia="zh-CN"/>
        </w:rPr>
        <w:t>条件</w:t>
      </w:r>
      <w:r>
        <w:rPr>
          <w:rFonts w:hint="eastAsia" w:ascii="宋体" w:hAnsi="宋体" w:cs="宋体"/>
          <w:sz w:val="22"/>
          <w:highlight w:val="none"/>
        </w:rPr>
        <w:t>：经总监理工程师及发包人审批同意后支付。</w:t>
      </w:r>
    </w:p>
    <w:p w14:paraId="64B98A77">
      <w:pPr>
        <w:ind w:firstLine="440" w:firstLineChars="200"/>
        <w:rPr>
          <w:rFonts w:hint="eastAsia"/>
          <w:lang w:eastAsia="zh-CN"/>
        </w:rPr>
      </w:pPr>
      <w:r>
        <w:rPr>
          <w:rFonts w:hint="eastAsia" w:ascii="宋体" w:hAnsi="宋体" w:cs="宋体"/>
          <w:sz w:val="22"/>
          <w:highlight w:val="none"/>
        </w:rPr>
        <w:t>预付款的抵扣方式、抵扣比例和抵扣时间安排：从第一次支付节点进度款时全额扣回。（如若不足以全额扣回，则往后顺延）</w:t>
      </w:r>
    </w:p>
    <w:p w14:paraId="5D256956">
      <w:pPr>
        <w:pStyle w:val="3"/>
        <w:spacing w:before="156" w:beforeLines="50" w:after="0" w:line="360" w:lineRule="auto"/>
        <w:rPr>
          <w:rFonts w:hint="eastAsia" w:ascii="宋体" w:hAnsi="宋体" w:cs="宋体"/>
          <w:b w:val="0"/>
          <w:highlight w:val="none"/>
        </w:rPr>
      </w:pPr>
      <w:bookmarkStart w:id="577" w:name="_Toc480909999"/>
      <w:r>
        <w:rPr>
          <w:rFonts w:hint="eastAsia" w:ascii="宋体" w:hAnsi="宋体" w:cs="宋体"/>
          <w:b w:val="0"/>
          <w:highlight w:val="none"/>
        </w:rPr>
        <w:t>18. 竣工试验和竣工验收</w:t>
      </w:r>
      <w:bookmarkEnd w:id="577"/>
    </w:p>
    <w:p w14:paraId="4C751110">
      <w:pPr>
        <w:pStyle w:val="4"/>
        <w:spacing w:before="156" w:beforeLines="50"/>
        <w:rPr>
          <w:rFonts w:hint="eastAsia" w:ascii="宋体" w:hAnsi="宋体" w:cs="宋体"/>
          <w:sz w:val="36"/>
          <w:szCs w:val="28"/>
          <w:highlight w:val="none"/>
        </w:rPr>
      </w:pPr>
      <w:bookmarkStart w:id="578" w:name="_Toc480910000"/>
      <w:r>
        <w:rPr>
          <w:rFonts w:hint="eastAsia" w:ascii="宋体" w:hAnsi="宋体" w:cs="宋体"/>
          <w:sz w:val="36"/>
          <w:szCs w:val="28"/>
          <w:highlight w:val="none"/>
        </w:rPr>
        <w:t>18.2 竣工验收申请报告</w:t>
      </w:r>
      <w:bookmarkEnd w:id="578"/>
    </w:p>
    <w:p w14:paraId="16C544B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（5）监理人要求提交的竣工验收资料清单</w:t>
      </w:r>
    </w:p>
    <w:p w14:paraId="25D4A9F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增加以下内容：</w:t>
      </w:r>
    </w:p>
    <w:p w14:paraId="6255066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竣工资料（一式捌份，含电子版光盘及U盘各一份）应包括：</w:t>
      </w:r>
    </w:p>
    <w:p w14:paraId="41D3FD7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① 工程实施概况和大事记；</w:t>
      </w:r>
    </w:p>
    <w:p w14:paraId="09F9386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② 已竣工程移交清单（包括工程设备）；</w:t>
      </w:r>
    </w:p>
    <w:p w14:paraId="6DEEAA6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③ 永久工程竣工图；</w:t>
      </w:r>
    </w:p>
    <w:p w14:paraId="013A900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④ 列入缺陷责任期继续施工的尾工工程项目清单；</w:t>
      </w:r>
    </w:p>
    <w:p w14:paraId="74D20B8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 xml:space="preserve">⑤ 未完成的质量保修清单； </w:t>
      </w:r>
    </w:p>
    <w:p w14:paraId="5B43420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⑥ 施工期的观测资料；</w:t>
      </w:r>
    </w:p>
    <w:p w14:paraId="1CA5B50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⑦ 监理人指示应列入竣工报告的各类设计文件、施工文件、施工原始记录（含图片和录像数据）以及其它应补充的竣工数据；</w:t>
      </w:r>
    </w:p>
    <w:p w14:paraId="08EDF26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⑧ 发包人要求的其它资料。</w:t>
      </w:r>
    </w:p>
    <w:p w14:paraId="1F268534">
      <w:pPr>
        <w:adjustRightInd w:val="0"/>
        <w:snapToGrid w:val="0"/>
        <w:spacing w:line="360" w:lineRule="auto"/>
        <w:ind w:firstLine="482" w:firstLineChars="200"/>
        <w:rPr>
          <w:rFonts w:hint="eastAsia" w:ascii="宋体" w:hAnsi="宋体" w:cs="宋体"/>
          <w:sz w:val="22"/>
          <w:szCs w:val="24"/>
          <w:highlight w:val="none"/>
        </w:rPr>
      </w:pPr>
      <w:r>
        <w:rPr>
          <w:rFonts w:hint="eastAsia" w:ascii="宋体" w:hAnsi="宋体" w:cs="宋体"/>
          <w:b/>
          <w:bCs/>
          <w:sz w:val="24"/>
          <w:szCs w:val="24"/>
          <w:highlight w:val="none"/>
        </w:rPr>
        <w:t>增加：18.5.2条修改为：发包人在全部工程竣工前，使用未接收的区段工程（如路面等），承包人需承担使用期间各类维护及成品保护工作。</w:t>
      </w:r>
    </w:p>
    <w:p w14:paraId="1B9FE28A">
      <w:pPr>
        <w:adjustRightInd w:val="0"/>
        <w:snapToGrid w:val="0"/>
        <w:spacing w:line="360" w:lineRule="auto"/>
        <w:ind w:firstLine="440" w:firstLineChars="200"/>
        <w:rPr>
          <w:rFonts w:hint="eastAsia" w:ascii="宋体" w:hAnsi="宋体" w:cs="宋体"/>
          <w:bCs/>
          <w:sz w:val="22"/>
          <w:highlight w:val="none"/>
        </w:rPr>
      </w:pPr>
      <w:r>
        <w:rPr>
          <w:rFonts w:hint="eastAsia" w:ascii="宋体" w:hAnsi="宋体" w:cs="宋体"/>
          <w:bCs/>
          <w:sz w:val="22"/>
          <w:highlight w:val="none"/>
        </w:rPr>
        <w:t>增加18.10条</w:t>
      </w:r>
    </w:p>
    <w:p w14:paraId="66D5DD1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结算审查</w:t>
      </w:r>
      <w:r>
        <w:rPr>
          <w:rFonts w:hint="eastAsia" w:ascii="宋体" w:hAnsi="宋体" w:cs="宋体"/>
          <w:sz w:val="22"/>
          <w:highlight w:val="none"/>
          <w:lang w:val="en-US" w:eastAsia="zh-CN"/>
        </w:rPr>
        <w:t>工作</w:t>
      </w:r>
      <w:r>
        <w:rPr>
          <w:rFonts w:hint="eastAsia" w:ascii="宋体" w:hAnsi="宋体" w:cs="宋体"/>
          <w:sz w:val="22"/>
          <w:highlight w:val="none"/>
        </w:rPr>
        <w:t>：</w:t>
      </w:r>
    </w:p>
    <w:p w14:paraId="434249B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工程竣工验收合格、出具验收证书后60天内，承包人向发包人递交全部工程结算报告及完整的结算资料报送监理人，监理人应在10日内对所送结算资料的完整性、正确性审核无误并对价款进行初审后报送发包人，发包人</w:t>
      </w:r>
      <w:r>
        <w:rPr>
          <w:rFonts w:hint="eastAsia" w:ascii="宋体" w:hAnsi="宋体" w:cs="宋体"/>
          <w:sz w:val="22"/>
        </w:rPr>
        <w:t>按照《高新区基本建设项目管理办法》要求开展结算评审工作</w:t>
      </w:r>
      <w:r>
        <w:rPr>
          <w:rFonts w:hint="eastAsia" w:ascii="宋体" w:hAnsi="宋体" w:cs="宋体"/>
          <w:sz w:val="22"/>
          <w:highlight w:val="none"/>
        </w:rPr>
        <w:t>；并按照本专用条款中17条约定支付结算款；若工程未竣工，或承包人未按规定将已完工程整体移交给发包人，则发包人有权拒绝结算。</w:t>
      </w:r>
    </w:p>
    <w:p w14:paraId="43D102F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（2）承包人在竣工后60天内不报送结算，发包人有权要求承包人承担违约责任。</w:t>
      </w:r>
    </w:p>
    <w:p w14:paraId="4B86E73A">
      <w:pPr>
        <w:adjustRightInd w:val="0"/>
        <w:snapToGrid w:val="0"/>
        <w:spacing w:line="360" w:lineRule="auto"/>
        <w:ind w:firstLine="457" w:firstLineChars="208"/>
        <w:jc w:val="left"/>
        <w:rPr>
          <w:rFonts w:hint="eastAsia" w:ascii="宋体" w:hAnsi="宋体" w:cs="宋体"/>
          <w:sz w:val="22"/>
          <w:highlight w:val="none"/>
        </w:rPr>
      </w:pPr>
      <w:r>
        <w:rPr>
          <w:rFonts w:hint="eastAsia" w:ascii="宋体" w:hAnsi="宋体" w:cs="宋体"/>
          <w:sz w:val="22"/>
          <w:highlight w:val="none"/>
        </w:rPr>
        <w:t>（3）</w:t>
      </w:r>
      <w:r>
        <w:rPr>
          <w:rFonts w:hint="eastAsia" w:ascii="宋体" w:hAnsi="宋体" w:cs="宋体"/>
          <w:sz w:val="22"/>
          <w:highlight w:val="none"/>
          <w:u w:val="single"/>
        </w:rPr>
        <w:t>承包人应认真编制工程结算书，不得弄虚作假，发包人收到承包人递交的工程竣工结算报告及结算资料后，委托上级指定的</w:t>
      </w:r>
      <w:r>
        <w:rPr>
          <w:rFonts w:hint="eastAsia" w:ascii="宋体" w:hAnsi="宋体" w:cs="宋体"/>
          <w:sz w:val="22"/>
          <w:highlight w:val="none"/>
          <w:u w:val="single"/>
          <w:lang w:val="en-US" w:eastAsia="zh-CN"/>
        </w:rPr>
        <w:t>具</w:t>
      </w:r>
      <w:r>
        <w:rPr>
          <w:rFonts w:hint="eastAsia" w:ascii="宋体" w:hAnsi="宋体" w:cs="宋体"/>
          <w:sz w:val="22"/>
          <w:highlight w:val="none"/>
          <w:u w:val="single"/>
        </w:rPr>
        <w:t>有</w:t>
      </w:r>
      <w:r>
        <w:rPr>
          <w:rFonts w:hint="eastAsia" w:ascii="宋体" w:hAnsi="宋体" w:cs="宋体"/>
          <w:sz w:val="22"/>
          <w:highlight w:val="none"/>
          <w:u w:val="single"/>
          <w:lang w:val="en-US" w:eastAsia="zh-CN"/>
        </w:rPr>
        <w:t>经验的</w:t>
      </w:r>
      <w:r>
        <w:rPr>
          <w:rFonts w:hint="eastAsia" w:ascii="宋体" w:hAnsi="宋体" w:cs="宋体"/>
          <w:sz w:val="22"/>
          <w:highlight w:val="none"/>
          <w:u w:val="single"/>
        </w:rPr>
        <w:t>工程造价咨询机构进行审核，若审减额高于送审造价的5%（含5%），则超出部分由承包人承担审计成果费用，发包人在支付结算款时予以扣除。</w:t>
      </w:r>
    </w:p>
    <w:p w14:paraId="59CF57CC">
      <w:pPr>
        <w:pStyle w:val="3"/>
        <w:spacing w:before="156" w:beforeLines="50" w:after="0" w:line="360" w:lineRule="auto"/>
        <w:rPr>
          <w:rFonts w:hint="eastAsia" w:ascii="宋体" w:hAnsi="宋体" w:cs="宋体"/>
          <w:b w:val="0"/>
          <w:highlight w:val="none"/>
        </w:rPr>
      </w:pPr>
      <w:bookmarkStart w:id="579" w:name="_Toc480910001"/>
      <w:r>
        <w:rPr>
          <w:rFonts w:hint="eastAsia" w:ascii="宋体" w:hAnsi="宋体" w:cs="宋体"/>
          <w:b w:val="0"/>
          <w:highlight w:val="none"/>
        </w:rPr>
        <w:t>19. 缺陷责任与保修责任</w:t>
      </w:r>
      <w:bookmarkEnd w:id="579"/>
    </w:p>
    <w:p w14:paraId="5D88991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19.2.3 增加以下内容：</w:t>
      </w:r>
    </w:p>
    <w:p w14:paraId="0802184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由于下述原因造成的修补缺陷的费用应由承包人承担：</w:t>
      </w:r>
    </w:p>
    <w:p w14:paraId="42432CC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1 \* GB2 </w:instrText>
      </w:r>
      <w:r>
        <w:rPr>
          <w:rFonts w:hint="eastAsia" w:ascii="宋体" w:hAnsi="宋体" w:cs="宋体"/>
          <w:sz w:val="22"/>
          <w:highlight w:val="none"/>
        </w:rPr>
        <w:fldChar w:fldCharType="separate"/>
      </w:r>
      <w:r>
        <w:rPr>
          <w:rFonts w:hint="eastAsia" w:ascii="宋体" w:hAnsi="宋体" w:cs="宋体"/>
          <w:sz w:val="22"/>
          <w:highlight w:val="none"/>
        </w:rPr>
        <w:t>⑴</w:t>
      </w:r>
      <w:r>
        <w:rPr>
          <w:rFonts w:hint="eastAsia" w:ascii="宋体" w:hAnsi="宋体" w:cs="宋体"/>
          <w:sz w:val="22"/>
          <w:highlight w:val="none"/>
        </w:rPr>
        <w:fldChar w:fldCharType="end"/>
      </w:r>
      <w:r>
        <w:rPr>
          <w:rFonts w:hint="eastAsia" w:ascii="宋体" w:hAnsi="宋体" w:cs="宋体"/>
          <w:sz w:val="22"/>
          <w:highlight w:val="none"/>
        </w:rPr>
        <w:t xml:space="preserve"> 工程的设计；</w:t>
      </w:r>
    </w:p>
    <w:p w14:paraId="7EB8BFD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2 \* GB2 </w:instrText>
      </w:r>
      <w:r>
        <w:rPr>
          <w:rFonts w:hint="eastAsia" w:ascii="宋体" w:hAnsi="宋体" w:cs="宋体"/>
          <w:sz w:val="22"/>
          <w:highlight w:val="none"/>
        </w:rPr>
        <w:fldChar w:fldCharType="separate"/>
      </w:r>
      <w:r>
        <w:rPr>
          <w:rFonts w:hint="eastAsia" w:ascii="宋体" w:hAnsi="宋体" w:cs="宋体"/>
          <w:sz w:val="22"/>
          <w:highlight w:val="none"/>
        </w:rPr>
        <w:t>⑵</w:t>
      </w:r>
      <w:r>
        <w:rPr>
          <w:rFonts w:hint="eastAsia" w:ascii="宋体" w:hAnsi="宋体" w:cs="宋体"/>
          <w:sz w:val="22"/>
          <w:highlight w:val="none"/>
        </w:rPr>
        <w:fldChar w:fldCharType="end"/>
      </w:r>
      <w:r>
        <w:rPr>
          <w:rFonts w:hint="eastAsia" w:ascii="宋体" w:hAnsi="宋体" w:cs="宋体"/>
          <w:sz w:val="22"/>
          <w:highlight w:val="none"/>
        </w:rPr>
        <w:t xml:space="preserve"> 工程设备、材料或工艺不符合合同要求；</w:t>
      </w:r>
    </w:p>
    <w:p w14:paraId="5231EFF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3 \* GB2 </w:instrText>
      </w:r>
      <w:r>
        <w:rPr>
          <w:rFonts w:hint="eastAsia" w:ascii="宋体" w:hAnsi="宋体" w:cs="宋体"/>
          <w:sz w:val="22"/>
          <w:highlight w:val="none"/>
        </w:rPr>
        <w:fldChar w:fldCharType="separate"/>
      </w:r>
      <w:r>
        <w:rPr>
          <w:rFonts w:hint="eastAsia" w:ascii="宋体" w:hAnsi="宋体" w:cs="宋体"/>
          <w:sz w:val="22"/>
          <w:highlight w:val="none"/>
        </w:rPr>
        <w:t>⑶</w:t>
      </w:r>
      <w:r>
        <w:rPr>
          <w:rFonts w:hint="eastAsia" w:ascii="宋体" w:hAnsi="宋体" w:cs="宋体"/>
          <w:sz w:val="22"/>
          <w:highlight w:val="none"/>
        </w:rPr>
        <w:fldChar w:fldCharType="end"/>
      </w:r>
      <w:r>
        <w:rPr>
          <w:rFonts w:hint="eastAsia" w:ascii="宋体" w:hAnsi="宋体" w:cs="宋体"/>
          <w:sz w:val="22"/>
          <w:highlight w:val="none"/>
        </w:rPr>
        <w:t xml:space="preserve"> 由承包人负责的事项产生不当的操作或维修； </w:t>
      </w:r>
    </w:p>
    <w:p w14:paraId="19738CD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4 \* GB2 </w:instrText>
      </w:r>
      <w:r>
        <w:rPr>
          <w:rFonts w:hint="eastAsia" w:ascii="宋体" w:hAnsi="宋体" w:cs="宋体"/>
          <w:sz w:val="22"/>
          <w:highlight w:val="none"/>
        </w:rPr>
        <w:fldChar w:fldCharType="separate"/>
      </w:r>
      <w:r>
        <w:rPr>
          <w:rFonts w:hint="eastAsia" w:ascii="宋体" w:hAnsi="宋体" w:cs="宋体"/>
          <w:sz w:val="22"/>
          <w:highlight w:val="none"/>
        </w:rPr>
        <w:t>⑷</w:t>
      </w:r>
      <w:r>
        <w:rPr>
          <w:rFonts w:hint="eastAsia" w:ascii="宋体" w:hAnsi="宋体" w:cs="宋体"/>
          <w:sz w:val="22"/>
          <w:highlight w:val="none"/>
        </w:rPr>
        <w:fldChar w:fldCharType="end"/>
      </w:r>
      <w:r>
        <w:rPr>
          <w:rFonts w:hint="eastAsia" w:ascii="宋体" w:hAnsi="宋体" w:cs="宋体"/>
          <w:sz w:val="22"/>
          <w:highlight w:val="none"/>
        </w:rPr>
        <w:t xml:space="preserve"> 承包人未能遵守任何其他义务。</w:t>
      </w:r>
    </w:p>
    <w:p w14:paraId="7FCB398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监理人和承包人应共同查清缺陷或损坏的原因。经查明属承包人原因造成的，应由承包人承担修复和查验的费用。</w:t>
      </w:r>
    </w:p>
    <w:p w14:paraId="0043012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19.2.4 修改为：如果承包人未能在合理的时间内修补任何缺陷或损害，发包人可确定一个日期，要求到或不迟于该日期修补好缺陷或损害，并应将该日期及时通知承包人。</w:t>
      </w:r>
    </w:p>
    <w:p w14:paraId="5C31A1A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如果承包人到该通知的日期仍未修补好缺陷或损害，且此项修补工作根据第19.2.3项的规定应由承包人承担实施的费用，发包人可以自行选择以下方式：</w:t>
      </w:r>
    </w:p>
    <w:p w14:paraId="0DE6482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1 \* GB2 </w:instrText>
      </w:r>
      <w:r>
        <w:rPr>
          <w:rFonts w:hint="eastAsia" w:ascii="宋体" w:hAnsi="宋体" w:cs="宋体"/>
          <w:sz w:val="22"/>
          <w:highlight w:val="none"/>
        </w:rPr>
        <w:fldChar w:fldCharType="separate"/>
      </w:r>
      <w:r>
        <w:rPr>
          <w:rFonts w:hint="eastAsia" w:ascii="宋体" w:hAnsi="宋体" w:cs="宋体"/>
          <w:sz w:val="22"/>
          <w:highlight w:val="none"/>
        </w:rPr>
        <w:t>⑴</w:t>
      </w:r>
      <w:r>
        <w:rPr>
          <w:rFonts w:hint="eastAsia" w:ascii="宋体" w:hAnsi="宋体" w:cs="宋体"/>
          <w:sz w:val="22"/>
          <w:highlight w:val="none"/>
        </w:rPr>
        <w:fldChar w:fldCharType="end"/>
      </w:r>
      <w:r>
        <w:rPr>
          <w:rFonts w:hint="eastAsia" w:ascii="宋体" w:hAnsi="宋体" w:cs="宋体"/>
          <w:sz w:val="22"/>
          <w:highlight w:val="none"/>
        </w:rPr>
        <w:t xml:space="preserve"> 以合理的方式由他自己或他人进行此项工作，由承包人承担费用，但承包人对此项工作将不再负责任；承包人应发包人支付由发包人修补缺陷或损害而发生的合理费用；</w:t>
      </w:r>
    </w:p>
    <w:p w14:paraId="412F93D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2 \* GB2 </w:instrText>
      </w:r>
      <w:r>
        <w:rPr>
          <w:rFonts w:hint="eastAsia" w:ascii="宋体" w:hAnsi="宋体" w:cs="宋体"/>
          <w:sz w:val="22"/>
          <w:highlight w:val="none"/>
        </w:rPr>
        <w:fldChar w:fldCharType="separate"/>
      </w:r>
      <w:r>
        <w:rPr>
          <w:rFonts w:hint="eastAsia" w:ascii="宋体" w:hAnsi="宋体" w:cs="宋体"/>
          <w:sz w:val="22"/>
          <w:highlight w:val="none"/>
        </w:rPr>
        <w:t>⑵</w:t>
      </w:r>
      <w:r>
        <w:rPr>
          <w:rFonts w:hint="eastAsia" w:ascii="宋体" w:hAnsi="宋体" w:cs="宋体"/>
          <w:sz w:val="22"/>
          <w:highlight w:val="none"/>
        </w:rPr>
        <w:fldChar w:fldCharType="end"/>
      </w:r>
      <w:r>
        <w:rPr>
          <w:rFonts w:hint="eastAsia" w:ascii="宋体" w:hAnsi="宋体" w:cs="宋体"/>
          <w:sz w:val="22"/>
          <w:highlight w:val="none"/>
        </w:rPr>
        <w:t xml:space="preserve"> 如果上述缺陷或损害使发包人实质上丧失了工程或工程的任何主要部分的整个利益时，终止整个合同，或其有关不能按原定意图使用的该主要部分。发包人还有权在不损害根据合同或其他规定所具有的任何其他权利的情况下，收回对工程或该部分工程（视情况而定）的全部支出总额，加上融资费用和拆除工程、清理现场、以及将生产设备和材料退还给承包人所支付的费用。</w:t>
      </w:r>
    </w:p>
    <w:p w14:paraId="6DF92B9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增加以下1项：</w:t>
      </w:r>
    </w:p>
    <w:p w14:paraId="69A06F9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19.2.5 完成扫尾工作和修补缺陷</w:t>
      </w:r>
    </w:p>
    <w:p w14:paraId="642163C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为了使工程、承包人文件和每个分项工程在相应缺陷通知期限期满日期或其后尽快达到合同要求(合理的损耗除外)，承包人应：</w:t>
      </w:r>
    </w:p>
    <w:p w14:paraId="74FABAA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1 \* GB2 </w:instrText>
      </w:r>
      <w:r>
        <w:rPr>
          <w:rFonts w:hint="eastAsia" w:ascii="宋体" w:hAnsi="宋体" w:cs="宋体"/>
          <w:sz w:val="22"/>
          <w:highlight w:val="none"/>
        </w:rPr>
        <w:fldChar w:fldCharType="separate"/>
      </w:r>
      <w:r>
        <w:rPr>
          <w:rFonts w:hint="eastAsia" w:ascii="宋体" w:hAnsi="宋体" w:cs="宋体"/>
          <w:sz w:val="22"/>
          <w:highlight w:val="none"/>
        </w:rPr>
        <w:t>⑴</w:t>
      </w:r>
      <w:r>
        <w:rPr>
          <w:rFonts w:hint="eastAsia" w:ascii="宋体" w:hAnsi="宋体" w:cs="宋体"/>
          <w:sz w:val="22"/>
          <w:highlight w:val="none"/>
        </w:rPr>
        <w:fldChar w:fldCharType="end"/>
      </w:r>
      <w:r>
        <w:rPr>
          <w:rFonts w:hint="eastAsia" w:ascii="宋体" w:hAnsi="宋体" w:cs="宋体"/>
          <w:sz w:val="22"/>
          <w:highlight w:val="none"/>
        </w:rPr>
        <w:t xml:space="preserve"> 在发包人指示的合理时间内，完成接收证书注明日期时尚未完成的任何工作；</w:t>
      </w:r>
    </w:p>
    <w:p w14:paraId="18047AE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2 \* GB2 </w:instrText>
      </w:r>
      <w:r>
        <w:rPr>
          <w:rFonts w:hint="eastAsia" w:ascii="宋体" w:hAnsi="宋体" w:cs="宋体"/>
          <w:sz w:val="22"/>
          <w:highlight w:val="none"/>
        </w:rPr>
        <w:fldChar w:fldCharType="separate"/>
      </w:r>
      <w:r>
        <w:rPr>
          <w:rFonts w:hint="eastAsia" w:ascii="宋体" w:hAnsi="宋体" w:cs="宋体"/>
          <w:sz w:val="22"/>
          <w:highlight w:val="none"/>
        </w:rPr>
        <w:t>⑵</w:t>
      </w:r>
      <w:r>
        <w:rPr>
          <w:rFonts w:hint="eastAsia" w:ascii="宋体" w:hAnsi="宋体" w:cs="宋体"/>
          <w:sz w:val="22"/>
          <w:highlight w:val="none"/>
        </w:rPr>
        <w:fldChar w:fldCharType="end"/>
      </w:r>
      <w:r>
        <w:rPr>
          <w:rFonts w:hint="eastAsia" w:ascii="宋体" w:hAnsi="宋体" w:cs="宋体"/>
          <w:sz w:val="22"/>
          <w:highlight w:val="none"/>
        </w:rPr>
        <w:t xml:space="preserve"> 在工程或分项工程(视情况而定)的缺陷通知期限期满日期或其以前，按照发包人可能通知的要求，完成修补缺陷或损害所需要的所有工作。</w:t>
      </w:r>
    </w:p>
    <w:p w14:paraId="38D629E4">
      <w:pPr>
        <w:pStyle w:val="4"/>
        <w:spacing w:before="156" w:beforeLines="50"/>
        <w:rPr>
          <w:rFonts w:hint="eastAsia" w:ascii="宋体" w:hAnsi="宋体" w:cs="宋体"/>
          <w:sz w:val="36"/>
          <w:szCs w:val="28"/>
          <w:highlight w:val="none"/>
        </w:rPr>
      </w:pPr>
      <w:bookmarkStart w:id="580" w:name="_Toc480910002"/>
      <w:r>
        <w:rPr>
          <w:rFonts w:hint="eastAsia" w:ascii="宋体" w:hAnsi="宋体" w:cs="宋体"/>
          <w:sz w:val="36"/>
          <w:szCs w:val="28"/>
          <w:highlight w:val="none"/>
        </w:rPr>
        <w:t>19.7 保修责任</w:t>
      </w:r>
      <w:bookmarkEnd w:id="580"/>
    </w:p>
    <w:p w14:paraId="3A4440A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修改为：</w:t>
      </w:r>
    </w:p>
    <w:p w14:paraId="4D7E64B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工程质量保修范围、期限和责任按照《工程质量保修书》和本合同相关条款执行。保修期自实际竣工日期起计算。在全部工程竣工验收前，已经发包人提前验收的单位工程，其保修期的起算日期相应提前。</w:t>
      </w:r>
    </w:p>
    <w:p w14:paraId="67531B2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保修期截止内，承包人应负责未移交工程和工程设备的全部日常维护和质量保修工作，对己移交发包人使用的工程和工程设备，则应由发包人负责日常维护工作，但承包人应按移交证书中所列的质量保修清单进行修复，直至经监理人检验合格为止。</w:t>
      </w:r>
    </w:p>
    <w:p w14:paraId="5142A32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发包人在保修期内使用工程和工程设备过程中，发现新的缺陷和损坏或原修复的缺陷部位或部件又遭损坏，则承包人应按监理人的指示负责修复，直至经监理人检验合格为止。监理人应会同发包人和承包人共同进行查验，若经查验确属由于承包人施工中隐存的或其它由于承包人责任造成的缺陷或损坏，应由承包人承担修复费用；若经查验确属发包人使用不当或其它由于发包人责任造成的缺陷或损坏，则应由发包人承担修复费用。</w:t>
      </w:r>
    </w:p>
    <w:p w14:paraId="6314DC62">
      <w:pPr>
        <w:pStyle w:val="3"/>
        <w:spacing w:before="156" w:beforeLines="50" w:after="0" w:line="360" w:lineRule="auto"/>
        <w:rPr>
          <w:rFonts w:hint="eastAsia" w:ascii="宋体" w:hAnsi="宋体" w:cs="宋体"/>
          <w:b w:val="0"/>
          <w:highlight w:val="none"/>
        </w:rPr>
      </w:pPr>
      <w:bookmarkStart w:id="581" w:name="_Toc480910003"/>
      <w:r>
        <w:rPr>
          <w:rFonts w:hint="eastAsia" w:ascii="宋体" w:hAnsi="宋体" w:cs="宋体"/>
          <w:b w:val="0"/>
          <w:highlight w:val="none"/>
        </w:rPr>
        <w:t>20．保险</w:t>
      </w:r>
      <w:bookmarkEnd w:id="581"/>
    </w:p>
    <w:p w14:paraId="11BAE58D">
      <w:pPr>
        <w:pStyle w:val="4"/>
        <w:spacing w:before="156" w:beforeLines="50"/>
        <w:rPr>
          <w:rFonts w:hint="eastAsia" w:ascii="宋体" w:hAnsi="宋体" w:cs="宋体"/>
          <w:sz w:val="36"/>
          <w:szCs w:val="28"/>
          <w:highlight w:val="none"/>
        </w:rPr>
      </w:pPr>
      <w:bookmarkStart w:id="582" w:name="_Toc480910004"/>
      <w:r>
        <w:rPr>
          <w:rFonts w:hint="eastAsia" w:ascii="宋体" w:hAnsi="宋体" w:cs="宋体"/>
          <w:sz w:val="36"/>
          <w:szCs w:val="28"/>
          <w:highlight w:val="none"/>
        </w:rPr>
        <w:t>20.1设计和工程保险</w:t>
      </w:r>
      <w:bookmarkEnd w:id="582"/>
    </w:p>
    <w:p w14:paraId="0FEE7FA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20.1.1 增加以下内容：</w:t>
      </w:r>
    </w:p>
    <w:p w14:paraId="7EBE836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承包人应为工程、设备、材料和承包人文件投保，保险额不低于全部复原费用，包括拆除、运走废弃物的费用、以及专业费用和利润。该保险提交证据的日期起，到颁发工程接收证书的日期止保持有效。</w:t>
      </w:r>
    </w:p>
    <w:p w14:paraId="7ECCBFD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承包人应维持该保险在直到颁发工程接收证书的日期为止的期间继续有效，以便对承包人应负责的，由颁发接收证书前发生的某项原因引起的损失或损害，以及由承包人或分包商在任何其他作业过程中造成的损失或损害，提供投保方应对承包人设备投保，保险金额不低于全部重置价值，包括运至现场的费用。对承包人设备的每项设备，该保险都就在该设备运往现场的过程起，直至其不再需要作为承包人设备为止的期间保持有效。</w:t>
      </w:r>
    </w:p>
    <w:p w14:paraId="093352E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除非另有规定，本款规定的各项保险：</w:t>
      </w:r>
    </w:p>
    <w:p w14:paraId="0F903C4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1 \* GB2 </w:instrText>
      </w:r>
      <w:r>
        <w:rPr>
          <w:rFonts w:hint="eastAsia" w:ascii="宋体" w:hAnsi="宋体" w:cs="宋体"/>
          <w:sz w:val="22"/>
          <w:highlight w:val="none"/>
        </w:rPr>
        <w:fldChar w:fldCharType="separate"/>
      </w:r>
      <w:r>
        <w:rPr>
          <w:rFonts w:hint="eastAsia" w:ascii="宋体" w:hAnsi="宋体" w:cs="宋体"/>
          <w:sz w:val="22"/>
          <w:highlight w:val="none"/>
        </w:rPr>
        <w:t>⑴</w:t>
      </w:r>
      <w:r>
        <w:rPr>
          <w:rFonts w:hint="eastAsia" w:ascii="宋体" w:hAnsi="宋体" w:cs="宋体"/>
          <w:sz w:val="22"/>
          <w:highlight w:val="none"/>
        </w:rPr>
        <w:fldChar w:fldCharType="end"/>
      </w:r>
      <w:r>
        <w:rPr>
          <w:rFonts w:hint="eastAsia" w:ascii="宋体" w:hAnsi="宋体" w:cs="宋体"/>
          <w:sz w:val="22"/>
          <w:highlight w:val="none"/>
        </w:rPr>
        <w:t xml:space="preserve"> 应由承包人作为应投保方办理和维持；</w:t>
      </w:r>
    </w:p>
    <w:p w14:paraId="12ED592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2 \* GB2 </w:instrText>
      </w:r>
      <w:r>
        <w:rPr>
          <w:rFonts w:hint="eastAsia" w:ascii="宋体" w:hAnsi="宋体" w:cs="宋体"/>
          <w:sz w:val="22"/>
          <w:highlight w:val="none"/>
        </w:rPr>
        <w:fldChar w:fldCharType="separate"/>
      </w:r>
      <w:r>
        <w:rPr>
          <w:rFonts w:hint="eastAsia" w:ascii="宋体" w:hAnsi="宋体" w:cs="宋体"/>
          <w:sz w:val="22"/>
          <w:highlight w:val="none"/>
        </w:rPr>
        <w:t>⑵</w:t>
      </w:r>
      <w:r>
        <w:rPr>
          <w:rFonts w:hint="eastAsia" w:ascii="宋体" w:hAnsi="宋体" w:cs="宋体"/>
          <w:sz w:val="22"/>
          <w:highlight w:val="none"/>
        </w:rPr>
        <w:fldChar w:fldCharType="end"/>
      </w:r>
      <w:r>
        <w:rPr>
          <w:rFonts w:hint="eastAsia" w:ascii="宋体" w:hAnsi="宋体" w:cs="宋体"/>
          <w:sz w:val="22"/>
          <w:highlight w:val="none"/>
        </w:rPr>
        <w:t xml:space="preserve"> 应由共同有权从保险人处得到赔偿的各方联名投保，保险赔偿金在各方间保有或分配，唯一用于修正损失或损害；</w:t>
      </w:r>
    </w:p>
    <w:p w14:paraId="2BAFE04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3 \* GB2 </w:instrText>
      </w:r>
      <w:r>
        <w:rPr>
          <w:rFonts w:hint="eastAsia" w:ascii="宋体" w:hAnsi="宋体" w:cs="宋体"/>
          <w:sz w:val="22"/>
          <w:highlight w:val="none"/>
        </w:rPr>
        <w:fldChar w:fldCharType="separate"/>
      </w:r>
      <w:r>
        <w:rPr>
          <w:rFonts w:hint="eastAsia" w:ascii="宋体" w:hAnsi="宋体" w:cs="宋体"/>
          <w:sz w:val="22"/>
          <w:highlight w:val="none"/>
        </w:rPr>
        <w:t>⑶</w:t>
      </w:r>
      <w:r>
        <w:rPr>
          <w:rFonts w:hint="eastAsia" w:ascii="宋体" w:hAnsi="宋体" w:cs="宋体"/>
          <w:sz w:val="22"/>
          <w:highlight w:val="none"/>
        </w:rPr>
        <w:fldChar w:fldCharType="end"/>
      </w:r>
      <w:r>
        <w:rPr>
          <w:rFonts w:hint="eastAsia" w:ascii="宋体" w:hAnsi="宋体" w:cs="宋体"/>
          <w:sz w:val="22"/>
          <w:highlight w:val="none"/>
        </w:rPr>
        <w:t xml:space="preserve"> 应对未列入发包人的风险列举的任何原因造成的所有损失和损害提供保险；</w:t>
      </w:r>
    </w:p>
    <w:p w14:paraId="105B52E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4 \* GB2 </w:instrText>
      </w:r>
      <w:r>
        <w:rPr>
          <w:rFonts w:hint="eastAsia" w:ascii="宋体" w:hAnsi="宋体" w:cs="宋体"/>
          <w:sz w:val="22"/>
          <w:highlight w:val="none"/>
        </w:rPr>
        <w:fldChar w:fldCharType="separate"/>
      </w:r>
      <w:r>
        <w:rPr>
          <w:rFonts w:hint="eastAsia" w:ascii="宋体" w:hAnsi="宋体" w:cs="宋体"/>
          <w:sz w:val="22"/>
          <w:highlight w:val="none"/>
        </w:rPr>
        <w:t>⑷</w:t>
      </w:r>
      <w:r>
        <w:rPr>
          <w:rFonts w:hint="eastAsia" w:ascii="宋体" w:hAnsi="宋体" w:cs="宋体"/>
          <w:sz w:val="22"/>
          <w:highlight w:val="none"/>
        </w:rPr>
        <w:fldChar w:fldCharType="end"/>
      </w:r>
      <w:r>
        <w:rPr>
          <w:rFonts w:hint="eastAsia" w:ascii="宋体" w:hAnsi="宋体" w:cs="宋体"/>
          <w:sz w:val="22"/>
          <w:highlight w:val="none"/>
        </w:rPr>
        <w:t xml:space="preserve"> 还应对因承包人人员、及承包人和分包人的其它人员以外的人员的骚动、喧闹或混乱造成的损失或损害提供保险，每次事件的免赔额不应超过专用条款中规定的数额（如果没有规定此数额，本</w:t>
      </w:r>
      <w:r>
        <w:rPr>
          <w:rFonts w:hint="eastAsia" w:ascii="宋体" w:hAnsi="宋体" w:cs="宋体"/>
          <w:sz w:val="22"/>
          <w:highlight w:val="none"/>
        </w:rPr>
        <w:fldChar w:fldCharType="begin"/>
      </w:r>
      <w:r>
        <w:rPr>
          <w:rFonts w:hint="eastAsia" w:ascii="宋体" w:hAnsi="宋体" w:cs="宋体"/>
          <w:sz w:val="22"/>
          <w:highlight w:val="none"/>
        </w:rPr>
        <w:instrText xml:space="preserve"> = 4 \* GB2 </w:instrText>
      </w:r>
      <w:r>
        <w:rPr>
          <w:rFonts w:hint="eastAsia" w:ascii="宋体" w:hAnsi="宋体" w:cs="宋体"/>
          <w:sz w:val="22"/>
          <w:highlight w:val="none"/>
        </w:rPr>
        <w:fldChar w:fldCharType="separate"/>
      </w:r>
      <w:r>
        <w:rPr>
          <w:rFonts w:hint="eastAsia" w:ascii="宋体" w:hAnsi="宋体" w:cs="宋体"/>
          <w:sz w:val="22"/>
          <w:highlight w:val="none"/>
        </w:rPr>
        <w:t>⑷</w:t>
      </w:r>
      <w:r>
        <w:rPr>
          <w:rFonts w:hint="eastAsia" w:ascii="宋体" w:hAnsi="宋体" w:cs="宋体"/>
          <w:sz w:val="22"/>
          <w:highlight w:val="none"/>
        </w:rPr>
        <w:fldChar w:fldCharType="end"/>
      </w:r>
      <w:r>
        <w:rPr>
          <w:rFonts w:hint="eastAsia" w:ascii="宋体" w:hAnsi="宋体" w:cs="宋体"/>
          <w:sz w:val="22"/>
          <w:highlight w:val="none"/>
        </w:rPr>
        <w:t>项应不适用）；</w:t>
      </w:r>
    </w:p>
    <w:p w14:paraId="0188E49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5 \* GB2 </w:instrText>
      </w:r>
      <w:r>
        <w:rPr>
          <w:rFonts w:hint="eastAsia" w:ascii="宋体" w:hAnsi="宋体" w:cs="宋体"/>
          <w:sz w:val="22"/>
          <w:highlight w:val="none"/>
        </w:rPr>
        <w:fldChar w:fldCharType="separate"/>
      </w:r>
      <w:r>
        <w:rPr>
          <w:rFonts w:hint="eastAsia" w:ascii="宋体" w:hAnsi="宋体" w:cs="宋体"/>
          <w:sz w:val="22"/>
          <w:highlight w:val="none"/>
        </w:rPr>
        <w:t>⑸</w:t>
      </w:r>
      <w:r>
        <w:rPr>
          <w:rFonts w:hint="eastAsia" w:ascii="宋体" w:hAnsi="宋体" w:cs="宋体"/>
          <w:sz w:val="22"/>
          <w:highlight w:val="none"/>
        </w:rPr>
        <w:fldChar w:fldCharType="end"/>
      </w:r>
      <w:r>
        <w:rPr>
          <w:rFonts w:hint="eastAsia" w:ascii="宋体" w:hAnsi="宋体" w:cs="宋体"/>
          <w:sz w:val="22"/>
          <w:highlight w:val="none"/>
        </w:rPr>
        <w:t xml:space="preserve"> 但可以不包括下列部分的损失、损害、及复原：</w:t>
      </w:r>
    </w:p>
    <w:p w14:paraId="31BF8D4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1 \* GB3 </w:instrText>
      </w:r>
      <w:r>
        <w:rPr>
          <w:rFonts w:hint="eastAsia" w:ascii="宋体" w:hAnsi="宋体" w:cs="宋体"/>
          <w:sz w:val="22"/>
          <w:highlight w:val="none"/>
        </w:rPr>
        <w:fldChar w:fldCharType="separate"/>
      </w:r>
      <w:r>
        <w:rPr>
          <w:rFonts w:hint="eastAsia" w:ascii="宋体" w:hAnsi="宋体" w:cs="宋体"/>
          <w:sz w:val="22"/>
          <w:highlight w:val="none"/>
        </w:rPr>
        <w:t>①</w:t>
      </w:r>
      <w:r>
        <w:rPr>
          <w:rFonts w:hint="eastAsia" w:ascii="宋体" w:hAnsi="宋体" w:cs="宋体"/>
          <w:sz w:val="22"/>
          <w:highlight w:val="none"/>
        </w:rPr>
        <w:fldChar w:fldCharType="end"/>
      </w:r>
      <w:r>
        <w:rPr>
          <w:rFonts w:hint="eastAsia" w:ascii="宋体" w:hAnsi="宋体" w:cs="宋体"/>
          <w:sz w:val="22"/>
          <w:highlight w:val="none"/>
        </w:rPr>
        <w:t xml:space="preserve"> 由于其本身的设计、材料或工艺缺陷造成的处于有缺陷状况的工程部分（但保险应包括不属于下述第</w:t>
      </w:r>
      <w:r>
        <w:rPr>
          <w:rFonts w:hint="eastAsia" w:ascii="宋体" w:hAnsi="宋体" w:cs="宋体"/>
          <w:sz w:val="22"/>
          <w:highlight w:val="none"/>
        </w:rPr>
        <w:fldChar w:fldCharType="begin"/>
      </w:r>
      <w:r>
        <w:rPr>
          <w:rFonts w:hint="eastAsia" w:ascii="宋体" w:hAnsi="宋体" w:cs="宋体"/>
          <w:sz w:val="22"/>
          <w:highlight w:val="none"/>
        </w:rPr>
        <w:instrText xml:space="preserve"> = 2 \* GB3 </w:instrText>
      </w:r>
      <w:r>
        <w:rPr>
          <w:rFonts w:hint="eastAsia" w:ascii="宋体" w:hAnsi="宋体" w:cs="宋体"/>
          <w:sz w:val="22"/>
          <w:highlight w:val="none"/>
        </w:rPr>
        <w:fldChar w:fldCharType="separate"/>
      </w:r>
      <w:r>
        <w:rPr>
          <w:rFonts w:hint="eastAsia" w:ascii="宋体" w:hAnsi="宋体" w:cs="宋体"/>
          <w:sz w:val="22"/>
          <w:highlight w:val="none"/>
        </w:rPr>
        <w:t>②</w:t>
      </w:r>
      <w:r>
        <w:rPr>
          <w:rFonts w:hint="eastAsia" w:ascii="宋体" w:hAnsi="宋体" w:cs="宋体"/>
          <w:sz w:val="22"/>
          <w:highlight w:val="none"/>
        </w:rPr>
        <w:fldChar w:fldCharType="end"/>
      </w:r>
      <w:r>
        <w:rPr>
          <w:rFonts w:hint="eastAsia" w:ascii="宋体" w:hAnsi="宋体" w:cs="宋体"/>
          <w:sz w:val="22"/>
          <w:highlight w:val="none"/>
        </w:rPr>
        <w:t>项情况的，由上述有缺陷状况直接造成损失或损害的任何其他部分）；</w:t>
      </w:r>
    </w:p>
    <w:p w14:paraId="2B684DA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2 \* GB3 </w:instrText>
      </w:r>
      <w:r>
        <w:rPr>
          <w:rFonts w:hint="eastAsia" w:ascii="宋体" w:hAnsi="宋体" w:cs="宋体"/>
          <w:sz w:val="22"/>
          <w:highlight w:val="none"/>
        </w:rPr>
        <w:fldChar w:fldCharType="separate"/>
      </w:r>
      <w:r>
        <w:rPr>
          <w:rFonts w:hint="eastAsia" w:ascii="宋体" w:hAnsi="宋体" w:cs="宋体"/>
          <w:sz w:val="22"/>
          <w:highlight w:val="none"/>
        </w:rPr>
        <w:t>②</w:t>
      </w:r>
      <w:r>
        <w:rPr>
          <w:rFonts w:hint="eastAsia" w:ascii="宋体" w:hAnsi="宋体" w:cs="宋体"/>
          <w:sz w:val="22"/>
          <w:highlight w:val="none"/>
        </w:rPr>
        <w:fldChar w:fldCharType="end"/>
      </w:r>
      <w:r>
        <w:rPr>
          <w:rFonts w:hint="eastAsia" w:ascii="宋体" w:hAnsi="宋体" w:cs="宋体"/>
          <w:sz w:val="22"/>
          <w:highlight w:val="none"/>
        </w:rPr>
        <w:t xml:space="preserve"> 为复原因设计、材料，或工艺缺陷造成的其他处于有缺陷状况的工程部分，而遭受损失或损害的某一工程部分；</w:t>
      </w:r>
    </w:p>
    <w:p w14:paraId="6F0160E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3 \* GB3 </w:instrText>
      </w:r>
      <w:r>
        <w:rPr>
          <w:rFonts w:hint="eastAsia" w:ascii="宋体" w:hAnsi="宋体" w:cs="宋体"/>
          <w:sz w:val="22"/>
          <w:highlight w:val="none"/>
        </w:rPr>
        <w:fldChar w:fldCharType="separate"/>
      </w:r>
      <w:r>
        <w:rPr>
          <w:rFonts w:hint="eastAsia" w:ascii="宋体" w:hAnsi="宋体" w:cs="宋体"/>
          <w:sz w:val="22"/>
          <w:highlight w:val="none"/>
        </w:rPr>
        <w:t>③</w:t>
      </w:r>
      <w:r>
        <w:rPr>
          <w:rFonts w:hint="eastAsia" w:ascii="宋体" w:hAnsi="宋体" w:cs="宋体"/>
          <w:sz w:val="22"/>
          <w:highlight w:val="none"/>
        </w:rPr>
        <w:fldChar w:fldCharType="end"/>
      </w:r>
      <w:r>
        <w:rPr>
          <w:rFonts w:hint="eastAsia" w:ascii="宋体" w:hAnsi="宋体" w:cs="宋体"/>
          <w:sz w:val="22"/>
          <w:highlight w:val="none"/>
        </w:rPr>
        <w:t xml:space="preserve"> 发包人已经接收的工程部分，但承包人对其损失或损害应负责任的除外；</w:t>
      </w:r>
    </w:p>
    <w:p w14:paraId="47BBE03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4 \* GB3 </w:instrText>
      </w:r>
      <w:r>
        <w:rPr>
          <w:rFonts w:hint="eastAsia" w:ascii="宋体" w:hAnsi="宋体" w:cs="宋体"/>
          <w:sz w:val="22"/>
          <w:highlight w:val="none"/>
        </w:rPr>
        <w:fldChar w:fldCharType="separate"/>
      </w:r>
      <w:r>
        <w:rPr>
          <w:rFonts w:hint="eastAsia" w:ascii="宋体" w:hAnsi="宋体" w:cs="宋体"/>
          <w:sz w:val="22"/>
          <w:highlight w:val="none"/>
        </w:rPr>
        <w:t>④</w:t>
      </w:r>
      <w:r>
        <w:rPr>
          <w:rFonts w:hint="eastAsia" w:ascii="宋体" w:hAnsi="宋体" w:cs="宋体"/>
          <w:sz w:val="22"/>
          <w:highlight w:val="none"/>
        </w:rPr>
        <w:fldChar w:fldCharType="end"/>
      </w:r>
      <w:r>
        <w:rPr>
          <w:rFonts w:hint="eastAsia" w:ascii="宋体" w:hAnsi="宋体" w:cs="宋体"/>
          <w:sz w:val="22"/>
          <w:highlight w:val="none"/>
        </w:rPr>
        <w:t xml:space="preserve"> 拟用于工程的生产设备和材料不在中国。</w:t>
      </w:r>
    </w:p>
    <w:p w14:paraId="3CB5308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如果在基准日期后一年以上，上述</w:t>
      </w:r>
      <w:r>
        <w:rPr>
          <w:rFonts w:hint="eastAsia" w:ascii="宋体" w:hAnsi="宋体" w:cs="宋体"/>
          <w:sz w:val="22"/>
          <w:highlight w:val="none"/>
        </w:rPr>
        <w:fldChar w:fldCharType="begin"/>
      </w:r>
      <w:r>
        <w:rPr>
          <w:rFonts w:hint="eastAsia" w:ascii="宋体" w:hAnsi="宋体" w:cs="宋体"/>
          <w:sz w:val="22"/>
          <w:highlight w:val="none"/>
        </w:rPr>
        <w:instrText xml:space="preserve"> = 4 \* GB3 </w:instrText>
      </w:r>
      <w:r>
        <w:rPr>
          <w:rFonts w:hint="eastAsia" w:ascii="宋体" w:hAnsi="宋体" w:cs="宋体"/>
          <w:sz w:val="22"/>
          <w:highlight w:val="none"/>
        </w:rPr>
        <w:fldChar w:fldCharType="separate"/>
      </w:r>
      <w:r>
        <w:rPr>
          <w:rFonts w:hint="eastAsia" w:ascii="宋体" w:hAnsi="宋体" w:cs="宋体"/>
          <w:sz w:val="22"/>
          <w:highlight w:val="none"/>
        </w:rPr>
        <w:t>④</w:t>
      </w:r>
      <w:r>
        <w:rPr>
          <w:rFonts w:hint="eastAsia" w:ascii="宋体" w:hAnsi="宋体" w:cs="宋体"/>
          <w:sz w:val="22"/>
          <w:highlight w:val="none"/>
        </w:rPr>
        <w:fldChar w:fldCharType="end"/>
      </w:r>
      <w:r>
        <w:rPr>
          <w:rFonts w:hint="eastAsia" w:ascii="宋体" w:hAnsi="宋体" w:cs="宋体"/>
          <w:sz w:val="22"/>
          <w:highlight w:val="none"/>
        </w:rPr>
        <w:t>项所述保险不能在合理的商务条件下继续投保，承包人（作为应投保方）应通知发包人，并附详细说明。这时，发包人就：</w:t>
      </w:r>
    </w:p>
    <w:p w14:paraId="1F03434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① 有权索赔，获得等同于承包人在该合理商务条件下，为该类保险预期要支付的款额；</w:t>
      </w:r>
    </w:p>
    <w:p w14:paraId="46B3210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② 除非他在商务合理条件下获得该保险，被认为已批准了此项省略。</w:t>
      </w:r>
    </w:p>
    <w:p w14:paraId="601C40A1">
      <w:pPr>
        <w:pStyle w:val="4"/>
        <w:spacing w:before="156" w:beforeLines="50"/>
        <w:rPr>
          <w:rFonts w:hint="eastAsia" w:ascii="宋体" w:hAnsi="宋体" w:cs="宋体"/>
          <w:sz w:val="36"/>
          <w:szCs w:val="28"/>
          <w:highlight w:val="none"/>
        </w:rPr>
      </w:pPr>
      <w:bookmarkStart w:id="583" w:name="_Toc480910005"/>
      <w:r>
        <w:rPr>
          <w:rFonts w:hint="eastAsia" w:ascii="宋体" w:hAnsi="宋体" w:cs="宋体"/>
          <w:sz w:val="36"/>
          <w:szCs w:val="28"/>
          <w:highlight w:val="none"/>
        </w:rPr>
        <w:t>20.5 对各项保险的一般要求</w:t>
      </w:r>
      <w:bookmarkEnd w:id="583"/>
    </w:p>
    <w:p w14:paraId="630CC21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增加以下7项：</w:t>
      </w:r>
    </w:p>
    <w:p w14:paraId="1AAAE7B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20.5.7 承包人应按照发包人批准的条件向保险人办理每项保险。这些条件应与双方在签定合同协议书前协商同意的任何条件相一致。有关应投保文件应在从开工日期算起10日向另一方提交：</w:t>
      </w:r>
    </w:p>
    <w:p w14:paraId="017B86D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1 \* GB2 </w:instrText>
      </w:r>
      <w:r>
        <w:rPr>
          <w:rFonts w:hint="eastAsia" w:ascii="宋体" w:hAnsi="宋体" w:cs="宋体"/>
          <w:sz w:val="22"/>
          <w:highlight w:val="none"/>
        </w:rPr>
        <w:fldChar w:fldCharType="separate"/>
      </w:r>
      <w:r>
        <w:rPr>
          <w:rFonts w:hint="eastAsia" w:ascii="宋体" w:hAnsi="宋体" w:cs="宋体"/>
          <w:sz w:val="22"/>
          <w:highlight w:val="none"/>
        </w:rPr>
        <w:t>⑴</w:t>
      </w:r>
      <w:r>
        <w:rPr>
          <w:rFonts w:hint="eastAsia" w:ascii="宋体" w:hAnsi="宋体" w:cs="宋体"/>
          <w:sz w:val="22"/>
          <w:highlight w:val="none"/>
        </w:rPr>
        <w:fldChar w:fldCharType="end"/>
      </w:r>
      <w:r>
        <w:rPr>
          <w:rFonts w:hint="eastAsia" w:ascii="宋体" w:hAnsi="宋体" w:cs="宋体"/>
          <w:sz w:val="22"/>
          <w:highlight w:val="none"/>
        </w:rPr>
        <w:t xml:space="preserve"> 本条中所述保险已经生效的证据；</w:t>
      </w:r>
    </w:p>
    <w:p w14:paraId="18023BC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fldChar w:fldCharType="begin"/>
      </w:r>
      <w:r>
        <w:rPr>
          <w:rFonts w:hint="eastAsia" w:ascii="宋体" w:hAnsi="宋体" w:cs="宋体"/>
          <w:sz w:val="22"/>
          <w:highlight w:val="none"/>
        </w:rPr>
        <w:instrText xml:space="preserve"> = 2 \* GB2 </w:instrText>
      </w:r>
      <w:r>
        <w:rPr>
          <w:rFonts w:hint="eastAsia" w:ascii="宋体" w:hAnsi="宋体" w:cs="宋体"/>
          <w:sz w:val="22"/>
          <w:highlight w:val="none"/>
        </w:rPr>
        <w:fldChar w:fldCharType="separate"/>
      </w:r>
      <w:r>
        <w:rPr>
          <w:rFonts w:hint="eastAsia" w:ascii="宋体" w:hAnsi="宋体" w:cs="宋体"/>
          <w:sz w:val="22"/>
          <w:highlight w:val="none"/>
        </w:rPr>
        <w:t>⑵</w:t>
      </w:r>
      <w:r>
        <w:rPr>
          <w:rFonts w:hint="eastAsia" w:ascii="宋体" w:hAnsi="宋体" w:cs="宋体"/>
          <w:sz w:val="22"/>
          <w:highlight w:val="none"/>
        </w:rPr>
        <w:fldChar w:fldCharType="end"/>
      </w:r>
      <w:r>
        <w:rPr>
          <w:rFonts w:hint="eastAsia" w:ascii="宋体" w:hAnsi="宋体" w:cs="宋体"/>
          <w:sz w:val="22"/>
          <w:highlight w:val="none"/>
        </w:rPr>
        <w:t xml:space="preserve"> 工程和承包人设备的保险及人员伤害和财产损害险保险单副本。</w:t>
      </w:r>
    </w:p>
    <w:p w14:paraId="501E5BD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这一条件协议的地位应优于本条各项规定。</w:t>
      </w:r>
    </w:p>
    <w:p w14:paraId="3002394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20.5.8 如果保险单需要对联合被保险人提供保障，保险赔偿应如同已向联合被保险人的每一方发出单独保险单一样，对每个被保人分别施用。如果保单对附加联合被保人提供保障，既在本条规定的被保人之外附加，则：</w:t>
      </w:r>
    </w:p>
    <w:p w14:paraId="53753E6C">
      <w:pPr>
        <w:adjustRightInd w:val="0"/>
        <w:snapToGrid w:val="0"/>
        <w:spacing w:line="360" w:lineRule="auto"/>
        <w:ind w:left="480" w:leftChars="200"/>
        <w:rPr>
          <w:rFonts w:hint="eastAsia" w:ascii="宋体" w:hAnsi="宋体" w:cs="宋体"/>
          <w:sz w:val="22"/>
          <w:highlight w:val="none"/>
        </w:rPr>
      </w:pPr>
      <w:r>
        <w:rPr>
          <w:rFonts w:hint="eastAsia" w:ascii="宋体" w:hAnsi="宋体" w:cs="宋体"/>
          <w:sz w:val="22"/>
          <w:highlight w:val="none"/>
        </w:rPr>
        <w:t>① 除发包人应代表发包人人员行动外，承包人应代表这些附加联合被保人根据保险单行动；</w:t>
      </w:r>
    </w:p>
    <w:p w14:paraId="1A45B637">
      <w:pPr>
        <w:adjustRightInd w:val="0"/>
        <w:snapToGrid w:val="0"/>
        <w:spacing w:line="360" w:lineRule="auto"/>
        <w:ind w:left="480" w:leftChars="200"/>
        <w:rPr>
          <w:rFonts w:hint="eastAsia" w:ascii="宋体" w:hAnsi="宋体" w:cs="宋体"/>
          <w:sz w:val="22"/>
          <w:highlight w:val="none"/>
        </w:rPr>
      </w:pPr>
      <w:r>
        <w:rPr>
          <w:rFonts w:hint="eastAsia" w:ascii="宋体" w:hAnsi="宋体" w:cs="宋体"/>
          <w:sz w:val="22"/>
          <w:highlight w:val="none"/>
        </w:rPr>
        <w:t>② 附加联合被保人无权从保险人处直接得到付款，或与保险人有其他直接往来；以及</w:t>
      </w:r>
    </w:p>
    <w:p w14:paraId="6F7DF0E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应投保方应要求所有附加联合被保人遵守保险单规定的条件。</w:t>
      </w:r>
    </w:p>
    <w:p w14:paraId="30E6773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20.5.9 每份承保损失或损害的保险单应以修正损失或损害需要的货币进行赔偿。从保险人处收到的付款应用于修正损失或损害。</w:t>
      </w:r>
    </w:p>
    <w:p w14:paraId="6218A05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20.5.10 当每项保险费已付时，应投保方应向另一方提供支付证据。</w:t>
      </w:r>
    </w:p>
    <w:p w14:paraId="1D66C4B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20.5.11 没有得到另一方的事先批准，任一方都不应对任何保险的条件做出实质性变动。如果保险人做出（或要做出）任何变动，首先收到保险人通知的一方应立即通知另一方。</w:t>
      </w:r>
    </w:p>
    <w:p w14:paraId="268318B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20.5.12 本条规定不限制合同其余条款或其他文件所规定的承包人或发包人的义务、责任、或职责。任何未保险或未能从保险人处收回的款项，应由承包人和（或）发包人按照这些义务、责任、或职责的规定承担。但是，如果应投保方对于能做到的并在合同中规定要办理并保持的某项保险，未能按要求办好并保持有效，而另一方既没有认可这项省略，又没有办理与此项违约有关的保险范围的保险，则根据此项保险应能收回的任何款额应由应投保方支付。</w:t>
      </w:r>
    </w:p>
    <w:p w14:paraId="4F4C18C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20.5.13 一方向另一方的支付，应按适用情况，根据发包人索赔或承包人索赔的规定办理。</w:t>
      </w:r>
    </w:p>
    <w:p w14:paraId="2D65EFA4">
      <w:pPr>
        <w:pStyle w:val="3"/>
        <w:spacing w:before="156" w:beforeLines="50" w:after="0" w:line="360" w:lineRule="auto"/>
        <w:rPr>
          <w:rFonts w:hint="eastAsia" w:ascii="宋体" w:hAnsi="宋体" w:cs="宋体"/>
          <w:sz w:val="28"/>
          <w:szCs w:val="36"/>
          <w:highlight w:val="none"/>
        </w:rPr>
      </w:pPr>
      <w:bookmarkStart w:id="584" w:name="_Toc480910006"/>
      <w:r>
        <w:rPr>
          <w:rFonts w:hint="eastAsia" w:ascii="宋体" w:hAnsi="宋体" w:cs="宋体"/>
          <w:b w:val="0"/>
          <w:highlight w:val="none"/>
        </w:rPr>
        <w:t>21. 不可抗力</w:t>
      </w:r>
    </w:p>
    <w:p w14:paraId="19ED6DBD">
      <w:pPr>
        <w:spacing w:line="360" w:lineRule="auto"/>
        <w:jc w:val="left"/>
        <w:rPr>
          <w:rFonts w:hint="eastAsia" w:ascii="宋体" w:hAnsi="宋体" w:cs="宋体"/>
          <w:b/>
          <w:bCs/>
          <w:sz w:val="28"/>
          <w:szCs w:val="24"/>
          <w:highlight w:val="none"/>
        </w:rPr>
      </w:pPr>
      <w:r>
        <w:rPr>
          <w:rFonts w:hint="eastAsia" w:ascii="宋体" w:hAnsi="宋体" w:cs="宋体"/>
          <w:b/>
          <w:bCs/>
          <w:sz w:val="28"/>
          <w:szCs w:val="24"/>
          <w:highlight w:val="none"/>
        </w:rPr>
        <w:t>21.1、不可抗力</w:t>
      </w:r>
    </w:p>
    <w:p w14:paraId="2071EAA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双方关于不可抗力的约定：承包人应当能够估计到的自然气候、环境（制约）变化的影响原则上不属于不可抗力事件对待，正常年份的风、雨、雪、雾天气不属于不可抗力；高考、中考、运动会以及政府部门发出的有碍于施工的临时性指令作为不可抗力事件对待；由于发生30年以上一遇的降雨引起的洪水灾害、雪灾造成对工程的影响，经国家有关部门鉴定后可按不可抗力对待；发生破坏性地震的属于不可抗力事件。</w:t>
      </w:r>
    </w:p>
    <w:p w14:paraId="239F2E67">
      <w:pPr>
        <w:pStyle w:val="3"/>
        <w:spacing w:before="156" w:beforeLines="50" w:after="0" w:line="360" w:lineRule="auto"/>
        <w:rPr>
          <w:rFonts w:hint="eastAsia" w:ascii="宋体" w:hAnsi="宋体" w:cs="宋体"/>
          <w:b w:val="0"/>
          <w:highlight w:val="none"/>
        </w:rPr>
      </w:pPr>
      <w:r>
        <w:rPr>
          <w:rFonts w:hint="eastAsia" w:ascii="宋体" w:hAnsi="宋体" w:cs="宋体"/>
          <w:b w:val="0"/>
          <w:highlight w:val="none"/>
        </w:rPr>
        <w:t>22．违约</w:t>
      </w:r>
      <w:bookmarkEnd w:id="584"/>
    </w:p>
    <w:p w14:paraId="69CE44DF">
      <w:pPr>
        <w:pStyle w:val="4"/>
        <w:spacing w:before="156" w:beforeLines="50"/>
        <w:rPr>
          <w:rFonts w:hint="eastAsia" w:ascii="宋体" w:hAnsi="宋体" w:cs="宋体"/>
          <w:sz w:val="36"/>
          <w:szCs w:val="28"/>
          <w:highlight w:val="none"/>
        </w:rPr>
      </w:pPr>
      <w:bookmarkStart w:id="585" w:name="_Toc480910007"/>
      <w:r>
        <w:rPr>
          <w:rFonts w:hint="eastAsia" w:ascii="宋体" w:hAnsi="宋体" w:cs="宋体"/>
          <w:sz w:val="36"/>
          <w:szCs w:val="28"/>
          <w:highlight w:val="none"/>
        </w:rPr>
        <w:t>22.1 承包人违约</w:t>
      </w:r>
      <w:bookmarkEnd w:id="585"/>
    </w:p>
    <w:p w14:paraId="56D9307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22.1.1 承包人违约的情形</w:t>
      </w:r>
    </w:p>
    <w:p w14:paraId="0FCE134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增加以下内容：</w:t>
      </w:r>
    </w:p>
    <w:p w14:paraId="42CC6F2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在履行合同过程中发生的下列情况属承包人违约：</w:t>
      </w:r>
    </w:p>
    <w:p w14:paraId="68BD596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一、项目部管理制度</w:t>
      </w:r>
    </w:p>
    <w:p w14:paraId="0CD07EA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1、投标文件或合同文件约定的项目负责人必须驻场，且每周不少于5天，缺勤一天者处罚20000元；项目经理外出超过2个小时的必须向监理及业主请假，经同意后方可离开，擅自脱岗每次处罚2000元。</w:t>
      </w:r>
    </w:p>
    <w:p w14:paraId="41FCF7E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2、每次例会参加人员必须按时到会并签名（有事提前向监理和业主请假）,无故不到者罚款200元，迟到、早退者罚款100元。  </w:t>
      </w:r>
    </w:p>
    <w:p w14:paraId="75FF4A9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3、业主及监理发出的整改通知单，施工方必须在3日书面回复整改情况，书面回复每超过一日处罚1000-20000元。</w:t>
      </w:r>
    </w:p>
    <w:p w14:paraId="53A0C06A">
      <w:pPr>
        <w:pStyle w:val="7"/>
        <w:ind w:firstLine="440" w:firstLineChars="200"/>
        <w:rPr>
          <w:rFonts w:hint="eastAsia"/>
          <w:sz w:val="22"/>
          <w:szCs w:val="22"/>
          <w:highlight w:val="none"/>
          <w:lang w:val="en-US" w:bidi="ar-SA"/>
        </w:rPr>
      </w:pPr>
      <w:r>
        <w:rPr>
          <w:rFonts w:hint="eastAsia"/>
          <w:sz w:val="22"/>
          <w:szCs w:val="22"/>
          <w:highlight w:val="none"/>
          <w:lang w:val="en-US" w:bidi="ar-SA"/>
        </w:rPr>
        <w:t>二、设计管理</w:t>
      </w:r>
    </w:p>
    <w:p w14:paraId="55B7AA84">
      <w:pPr>
        <w:adjustRightInd w:val="0"/>
        <w:snapToGrid w:val="0"/>
        <w:spacing w:line="360" w:lineRule="auto"/>
        <w:ind w:firstLine="440" w:firstLineChars="200"/>
        <w:rPr>
          <w:rFonts w:hint="eastAsia" w:ascii="宋体" w:hAnsi="宋体" w:cs="宋体"/>
          <w:sz w:val="22"/>
          <w:szCs w:val="24"/>
          <w:highlight w:val="none"/>
        </w:rPr>
      </w:pPr>
      <w:r>
        <w:rPr>
          <w:rFonts w:hint="eastAsia" w:ascii="宋体" w:hAnsi="宋体" w:cs="宋体"/>
          <w:sz w:val="22"/>
          <w:highlight w:val="none"/>
        </w:rPr>
        <w:t>1、对因设计原因而超出概算的，超额部分不予支付设计费，此外还应由联合体单位中设计单位承担超出概算1%的保证金。</w:t>
      </w:r>
      <w:r>
        <w:rPr>
          <w:rFonts w:hint="eastAsia" w:ascii="宋体" w:hAnsi="宋体" w:cs="宋体"/>
          <w:sz w:val="22"/>
          <w:highlight w:val="none"/>
        </w:rPr>
        <w:br w:type="textWrapping"/>
      </w:r>
      <w:r>
        <w:rPr>
          <w:rFonts w:hint="eastAsia" w:ascii="宋体" w:hAnsi="宋体" w:cs="宋体"/>
          <w:sz w:val="22"/>
          <w:highlight w:val="none"/>
        </w:rPr>
        <w:t xml:space="preserve">    2、如不能按时出具设计方案，超时一天扣除EPC总承包方工程费用10万元，两次修改设计质量仍不达标的扣除工程费的1%，经反复修改设计方案仍不能满足业主需求的项目，业主有权委托其他设计单位承担设计工作并扣除相应项目的设计费用。</w:t>
      </w:r>
      <w:r>
        <w:rPr>
          <w:rFonts w:hint="eastAsia" w:ascii="宋体" w:hAnsi="宋体" w:cs="宋体"/>
          <w:sz w:val="22"/>
          <w:highlight w:val="none"/>
        </w:rPr>
        <w:br w:type="textWrapping"/>
      </w:r>
      <w:r>
        <w:rPr>
          <w:rFonts w:hint="eastAsia" w:ascii="宋体" w:hAnsi="宋体" w:cs="宋体"/>
          <w:sz w:val="22"/>
          <w:highlight w:val="none"/>
        </w:rPr>
        <w:t xml:space="preserve">    3、EPC总承包方不按业主要求进行设计调整的，不配合设计方案汇报、图纸审批等事项的，不予支付设计费用。</w:t>
      </w:r>
    </w:p>
    <w:p w14:paraId="139ED31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三、文明施工管理制度 </w:t>
      </w:r>
    </w:p>
    <w:p w14:paraId="4AAD394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承建单位任何人员在施工期间必须服从发包人和监理人员的合理指挥，若不服从或闹事者将对项目部处以1000元罚款，若辱骂、殴打发包人和监理人员，则对该项目部处以10000-50000元罚款，并责令当事人无条件离场，情节严重者移送司法机关处理。</w:t>
      </w:r>
    </w:p>
    <w:p w14:paraId="741A426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2、施工现场有穿拖鞋、高跟鞋、赤膊、赤脚等现象，愿接受每次罚款500—1000元。</w:t>
      </w:r>
    </w:p>
    <w:p w14:paraId="654DA1A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3、施工现场存在打架、群殴、赌博、闹事等行为，愿接受每次罚款2000—5000元。</w:t>
      </w:r>
    </w:p>
    <w:p w14:paraId="6B230A15">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4、施工现场存在焚烧各类废弃物现象，愿接受每次罚款1000—5000元。</w:t>
      </w:r>
    </w:p>
    <w:p w14:paraId="3DD2589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5、施工现场没有设置封闭式垃圾站，随意倾倒生产、生活垃圾，愿接受每次罚款1000—5000元。</w:t>
      </w:r>
    </w:p>
    <w:p w14:paraId="1E5D90E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6、施工现场存在酒后作业现象，愿接受每次罚款500—2000元。</w:t>
      </w:r>
    </w:p>
    <w:p w14:paraId="1575C1C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7、施工现场办公室及宿舍保持干净整洁、消防、用电符合规范，如出现脏乱差、用电、消防不符合规范的自愿接受1000-5000元罚款。</w:t>
      </w:r>
    </w:p>
    <w:p w14:paraId="45A4330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四、进度控制</w:t>
      </w:r>
    </w:p>
    <w:p w14:paraId="5B89DC8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1、承包人项目经理、技术主管工程师不得擅自离开工地，有事外出，须报监理批准（项目经理或技术主管必须有一人常驻工地），无故脱岗者，每天罚款1000元。 </w:t>
      </w:r>
    </w:p>
    <w:p w14:paraId="28A6324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2、承包人制定的下月进度计划应当在当月的25日前，下周计划应当在本周五之前报监理及甲方，否则，每延误一天，罚款1000元。 </w:t>
      </w:r>
    </w:p>
    <w:p w14:paraId="73EECB91">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3、月计划排列必须满足总进度计划，不满足的罚款1000元，并重新排计划，周计划必须满足月计划，否则，罚款1000元并重新排计划。 </w:t>
      </w:r>
    </w:p>
    <w:p w14:paraId="360DC00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施工进度的周计划由于施工方原因没有完成的给予300元罚款，连续两周没有完成计划的罚款2000元，未按月计划完成任务的罚款5000元，连续两月未完成计划的罚款10000元。同时，由承包人负责查明原因，拿出切实可行的措施，报监理、甲方备案，若在下一节点时间赶上进度计划，则取消罚款。 </w:t>
      </w:r>
    </w:p>
    <w:p w14:paraId="47D0024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5、发包人、承包人、监理人三方或双方达成的临时计划，承包人未完成的每拖延一天罚款300元。 </w:t>
      </w:r>
    </w:p>
    <w:p w14:paraId="2E03091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6、工程例会所要求报的报验资料、计划不能按时完成，拖后一天，罚款100元。  </w:t>
      </w:r>
    </w:p>
    <w:p w14:paraId="4CC8DF5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依照管理办法新增：</w:t>
      </w:r>
    </w:p>
    <w:p w14:paraId="428DB11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7、发包人按经监理人审核的总进度计划及目标责任书对承包人处罚。按照发包人要求的节点工期每拖延关键节点一天承包人应向发包人支付50万元/天工期违约金。若最终工期承包人按照发包人要求完成，发包人有权确定是否将节点工期违约金返还或永久扣除。拖延10天及以上，承包人向发包人缴纳合同金额1%违约金，从当月工程款中扣除，结算时不予补偿；若最终工期承包人按照发包人要求完成，发包人有权确定是否将节点工期违约金返还或永久扣除。因承包人原因造成工期延误时间累计超过30日历天，发包人有权单方面解除合同，并向承包人索赔合同总价20%的违约金。</w:t>
      </w:r>
    </w:p>
    <w:p w14:paraId="477E4968">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8、对于实际进度滞后计划进度且承包人组织资源投入不足现象，发包人、监理人可下发责令通知书及相应金额处罚，罚款金额为10000-50000元。</w:t>
      </w:r>
    </w:p>
    <w:p w14:paraId="097995C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9、因政府重大活动及发包人决议的相关节点任务，承包人必须按照发包人要求执行，对于单位未完成临时节点或未按标准完成的节点，根据实际情况，单次处以20000-100000元罚款。  </w:t>
      </w:r>
    </w:p>
    <w:p w14:paraId="4C2C2426">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五、质量管理 </w:t>
      </w:r>
    </w:p>
    <w:p w14:paraId="4A22B0D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1、上道工序未经验收而进行下道工序施工的给予5000-10000元罚款。并责令重做。 </w:t>
      </w:r>
    </w:p>
    <w:p w14:paraId="064C8EA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2、发包人与监理人员巡视现场时，发现施工中偷工减料的，要求其立即返工和停工整改，并给予10000元—50000元罚款。 </w:t>
      </w:r>
    </w:p>
    <w:p w14:paraId="472811B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3、承包人专职质检人员要认真履行职责，分项工程必须自检合格后方能报监理人员检查验收，未经检查验收的，未经施工方“三检”合格或达不到合同要求的，每次罚款500元。 </w:t>
      </w:r>
    </w:p>
    <w:p w14:paraId="542CF2D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4、对监理下达的监理通知，置之不理或不执行、不回复的，给予1000—3000元罚款。 </w:t>
      </w:r>
    </w:p>
    <w:p w14:paraId="2AAE074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5、有下列行为之一的，责令改正，罚款1000元—10000元以上：</w:t>
      </w:r>
    </w:p>
    <w:p w14:paraId="330CD5B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 ①违反工程建设强制性标准、工程建设标准强制性条文、省市建设行政主管部门有关质量规定的； </w:t>
      </w:r>
    </w:p>
    <w:p w14:paraId="7007F092">
      <w:pPr>
        <w:adjustRightInd w:val="0"/>
        <w:snapToGrid w:val="0"/>
        <w:spacing w:line="360" w:lineRule="auto"/>
        <w:ind w:firstLine="660" w:firstLineChars="300"/>
        <w:rPr>
          <w:rFonts w:hint="eastAsia" w:ascii="宋体" w:hAnsi="宋体" w:cs="宋体"/>
          <w:sz w:val="22"/>
          <w:highlight w:val="none"/>
        </w:rPr>
      </w:pPr>
      <w:r>
        <w:rPr>
          <w:rFonts w:hint="eastAsia" w:ascii="宋体" w:hAnsi="宋体" w:cs="宋体"/>
          <w:sz w:val="22"/>
          <w:highlight w:val="none"/>
        </w:rPr>
        <w:t>②提供不真实工程资料、材料，办理证明的；</w:t>
      </w:r>
    </w:p>
    <w:p w14:paraId="3811DC1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 ③出现质量事故擅自处理的。 </w:t>
      </w:r>
    </w:p>
    <w:p w14:paraId="220AE0E7">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6、承包人在施工中偷工减料，使用不合格的建筑材料，建筑构配件和设备的，或者未按照工程设计图纸或者施工技术标准施工的，处罚1万—5万元。</w:t>
      </w:r>
    </w:p>
    <w:p w14:paraId="369C386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7、未按照约定使用材料，处以合同约定材料与自行变更材料价差的10—20倍罚款，并不少于1万元以上的经济处罚。必须进行重新检测，承包人承担全部检测费用。</w:t>
      </w:r>
    </w:p>
    <w:p w14:paraId="49AB2BE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六、安全管理制度</w:t>
      </w:r>
    </w:p>
    <w:p w14:paraId="1B585F5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1、无安全保证体系或保证体系不健全的罚款500元。</w:t>
      </w:r>
    </w:p>
    <w:p w14:paraId="7168739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2、无安全管理制度，制度不上墙的罚款300元。 </w:t>
      </w:r>
    </w:p>
    <w:p w14:paraId="262AD79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3、工人进场无安全交底，无书面材料报监理部的，罚款500元。 </w:t>
      </w:r>
    </w:p>
    <w:p w14:paraId="6273219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4、特殊岗位无操作证，罚款1000-3000元。  </w:t>
      </w:r>
    </w:p>
    <w:p w14:paraId="1A4327E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5、例会纪要中要求承包人完成的有关事项必须按期完成，否则，每延误一天罚款200元。 </w:t>
      </w:r>
    </w:p>
    <w:p w14:paraId="49D473A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6、下列情况之一者，从重处罚：</w:t>
      </w:r>
    </w:p>
    <w:p w14:paraId="297947E3">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(1)省、市、进行安全文明生产，消防安全，卫生环保，劳动合同等专项检查不合格的项目，罚款1000—5000元； </w:t>
      </w:r>
    </w:p>
    <w:p w14:paraId="541EAA79">
      <w:pPr>
        <w:ind w:firstLine="420"/>
        <w:rPr>
          <w:rFonts w:hint="eastAsia" w:ascii="宋体" w:hAnsi="宋体" w:cs="宋体"/>
          <w:sz w:val="22"/>
          <w:highlight w:val="none"/>
        </w:rPr>
      </w:pPr>
      <w:r>
        <w:rPr>
          <w:rFonts w:hint="eastAsia" w:ascii="宋体" w:hAnsi="宋体" w:cs="宋体"/>
          <w:sz w:val="22"/>
          <w:highlight w:val="none"/>
        </w:rPr>
        <w:t>(2)有５处及其以上一般安全隐患或有１处及以上重大安全隐患，罚款2000元，每发生一起一般事故处罚100000-200000元，较大事故处罚200000-500000元，重大事故处罚500000-2000000元，特大事故处罚2000000-5000000元）并承担相关的直接、间接经济损失以及法律责任。</w:t>
      </w:r>
    </w:p>
    <w:p w14:paraId="217E6E1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(3)安全管理人员，不认真履行职责，不深入施工现场行使安全监督检查，不及时收集整理档案资料，不及时将安全检查隐患整改情况反馈给主管领导、检查部门等，给予罚款100元至500元。</w:t>
      </w:r>
    </w:p>
    <w:p w14:paraId="23ED22BC">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(4)发生重伤以上安全事故不保护事故现场，隐瞒不报或不按“四不放过”原则处理的，给予罚款2000元至50000元； </w:t>
      </w:r>
    </w:p>
    <w:p w14:paraId="779CE2E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(5)不进行三级安全教育的项目经理部，罚款1000元至2000元，造成安全事故的，要加倍处罚。 </w:t>
      </w:r>
    </w:p>
    <w:p w14:paraId="4DB4604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(6)不支持安管人员的监督检查，干扰安全管理人员的工作，对安全隐患不按期整改的有关人员，给予罚款1000元。 </w:t>
      </w:r>
    </w:p>
    <w:p w14:paraId="15EF07BD">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七、治污减霾</w:t>
      </w:r>
    </w:p>
    <w:p w14:paraId="0BA06AF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1、承包人未制订安全文明施工措施费中扬尘污染治理费使用计划的暂停工程，进度款审批并处罚1000 -5000 元:</w:t>
      </w:r>
    </w:p>
    <w:p w14:paraId="32BBB8BF">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2.承包人未按要求配备专职治污减霾员的处1000 -3000元罚款;并按3000- 5000 元每人/月扣除相应的安全文明施工措施费及扬尘污染治理费(罚款形式扣除);</w:t>
      </w:r>
    </w:p>
    <w:p w14:paraId="648AE46E">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3、承包人未根据现场实际情况配备足够数量专职保洁员的处罚1000-3000元，并按2000- -4000 元每人/月扣除相应的安全文明施工措施费及扬尘污染治理费(罚款形式扣除);</w:t>
      </w:r>
    </w:p>
    <w:p w14:paraId="780988E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4、未按规定设置各类环境保护牌(建筑垃圾监管公示牌、扬尘防治包抓监管公示牌、重污染天气应急响应公告牌)或设置不规范，在要求时间内整改不达标的处罚1000 -5000 元;</w:t>
      </w:r>
    </w:p>
    <w:p w14:paraId="46B1BC8A">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5、工地现场或出入口未按要求安装环境监测仪、视频监控系统，并连接至高新区监管网络平台的，在要求时间内未整改到位处罚1000-5000 元;</w:t>
      </w:r>
    </w:p>
    <w:p w14:paraId="24FBE4E9">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6、施工现场或出入口未配置降尘雾炮设备和冲洗设备，在要求时间内未整改到位的处罚1000-5000 元;</w:t>
      </w:r>
    </w:p>
    <w:p w14:paraId="795F2A2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7、施工区域未按要求100%标准围挡的，围档有安全隐患、破损、不完整、围挡擦洗不到位、脏乱差(含贴有小广告未清理)等在要求时间内整改不达标的处罚1000-5000 元;</w:t>
      </w:r>
    </w:p>
    <w:p w14:paraId="3A3099AB">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8、 对施工现场裸露黄土、材料等未进行全面覆盖，施工时打开覆盖物进行作业未树立作业告知牌、停工时未立即进行覆盖的，在要求时间内整改不达标的处罚1000- 5000元:</w:t>
      </w:r>
    </w:p>
    <w:p w14:paraId="73E891C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 xml:space="preserve">9.施工场地内有熔融沥青、焚烧树叶、塑料、垃圾等各类有毒有害物质和废弃物的处罚1000-5000 元:使用煤、碳、木料等污染严重燃料的处罚1000-2000 元: </w:t>
      </w:r>
    </w:p>
    <w:p w14:paraId="2AAF6370">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10、进行旧路面拆除时，未采取湿法作业、未及时覆盖，挖土、装土及二灰石、灰土施工过程中未采取洒水降尘或喷雾降尘措施的处罚3000-5000 元;</w:t>
      </w:r>
    </w:p>
    <w:p w14:paraId="53D31784">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11、 坚持施工便道洒水降尘，气温在30C以上，每2</w:t>
      </w:r>
      <w:r>
        <w:rPr>
          <w:rFonts w:hint="eastAsia" w:ascii="宋体" w:hAnsi="宋体" w:cs="宋体"/>
          <w:sz w:val="22"/>
          <w:highlight w:val="none"/>
          <w:lang w:eastAsia="zh-CN"/>
        </w:rPr>
        <w:t>—</w:t>
      </w:r>
      <w:r>
        <w:rPr>
          <w:rFonts w:hint="eastAsia" w:ascii="宋体" w:hAnsi="宋体" w:cs="宋体"/>
          <w:sz w:val="22"/>
          <w:highlight w:val="none"/>
        </w:rPr>
        <w:t>3小时洒水一次，气温在30C以下，每天洒水不少于三次，冬季气温在5"C以下及雨雪天不酒水。未按要求洒水作业或无洒水作业记录的处罚1000-5000 元;</w:t>
      </w:r>
    </w:p>
    <w:p w14:paraId="2BADAB5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13、其他未达到六个百分百、七个到位要求的，在要求时间内整改不到位的处罚1000-5000 元；</w:t>
      </w:r>
    </w:p>
    <w:p w14:paraId="62EE4A9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14、对于中、省、市、区等上级单位检查发现问题给予通报、督办、处罚等情况的处罚承包人 10000- 200000元(与上级单位下达的处罚不冲突)；并承担对发包人的损失。</w:t>
      </w:r>
    </w:p>
    <w:p w14:paraId="7EC466D2">
      <w:pPr>
        <w:adjustRightInd w:val="0"/>
        <w:snapToGrid w:val="0"/>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八、合同罚款缴纳指定账号</w:t>
      </w:r>
    </w:p>
    <w:p w14:paraId="68680A79">
      <w:pPr>
        <w:adjustRightInd w:val="0"/>
        <w:snapToGrid w:val="0"/>
        <w:spacing w:line="360" w:lineRule="auto"/>
        <w:ind w:firstLine="440" w:firstLineChars="200"/>
        <w:rPr>
          <w:rFonts w:hint="eastAsia" w:ascii="宋体" w:hAnsi="宋体" w:cs="宋体"/>
          <w:sz w:val="22"/>
          <w:highlight w:val="none"/>
        </w:rPr>
      </w:pPr>
    </w:p>
    <w:p w14:paraId="65100F0D">
      <w:pPr>
        <w:pStyle w:val="3"/>
        <w:spacing w:before="156" w:beforeLines="50" w:after="0" w:line="360" w:lineRule="auto"/>
        <w:rPr>
          <w:rFonts w:hint="eastAsia" w:ascii="宋体" w:hAnsi="宋体" w:cs="宋体"/>
          <w:b w:val="0"/>
          <w:highlight w:val="none"/>
        </w:rPr>
      </w:pPr>
      <w:bookmarkStart w:id="586" w:name="_Toc480910008"/>
      <w:r>
        <w:rPr>
          <w:rFonts w:hint="eastAsia" w:ascii="宋体" w:hAnsi="宋体" w:cs="宋体"/>
          <w:b w:val="0"/>
          <w:highlight w:val="none"/>
        </w:rPr>
        <w:t>24．争议的解决</w:t>
      </w:r>
      <w:bookmarkEnd w:id="586"/>
    </w:p>
    <w:p w14:paraId="5FC4EC5A">
      <w:pPr>
        <w:pStyle w:val="4"/>
        <w:spacing w:before="156" w:beforeLines="50"/>
        <w:rPr>
          <w:rFonts w:hint="eastAsia" w:ascii="宋体" w:hAnsi="宋体" w:cs="宋体"/>
          <w:sz w:val="36"/>
          <w:szCs w:val="28"/>
          <w:highlight w:val="none"/>
        </w:rPr>
      </w:pPr>
      <w:bookmarkStart w:id="587" w:name="_Toc480910009"/>
      <w:r>
        <w:rPr>
          <w:rFonts w:hint="eastAsia" w:ascii="宋体" w:hAnsi="宋体" w:cs="宋体"/>
          <w:sz w:val="36"/>
          <w:szCs w:val="28"/>
          <w:highlight w:val="none"/>
        </w:rPr>
        <w:t>24.1 争议的解决方式</w:t>
      </w:r>
      <w:bookmarkEnd w:id="587"/>
    </w:p>
    <w:p w14:paraId="15A86EBF">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发包人和承包人在履行合同中发生争议的，应当友好协商解决，协商解决不成的，双方可向项目所在地的人民法院提起诉讼。</w:t>
      </w:r>
    </w:p>
    <w:p w14:paraId="2EF399B1">
      <w:pPr>
        <w:spacing w:line="360" w:lineRule="auto"/>
        <w:ind w:firstLine="440" w:firstLineChars="200"/>
        <w:rPr>
          <w:rFonts w:hint="eastAsia" w:ascii="宋体" w:hAnsi="宋体" w:cs="宋体"/>
          <w:sz w:val="22"/>
          <w:highlight w:val="none"/>
        </w:rPr>
      </w:pPr>
      <w:r>
        <w:rPr>
          <w:rFonts w:hint="eastAsia" w:ascii="宋体" w:hAnsi="宋体" w:cs="宋体"/>
          <w:sz w:val="22"/>
          <w:highlight w:val="none"/>
        </w:rPr>
        <w:t>增加：</w:t>
      </w:r>
    </w:p>
    <w:p w14:paraId="0CF480C0">
      <w:pPr>
        <w:spacing w:line="360" w:lineRule="auto"/>
        <w:jc w:val="left"/>
        <w:rPr>
          <w:rFonts w:hint="eastAsia" w:ascii="宋体" w:hAnsi="宋体" w:cs="宋体"/>
          <w:sz w:val="28"/>
          <w:szCs w:val="24"/>
          <w:highlight w:val="none"/>
          <w:u w:val="single"/>
        </w:rPr>
      </w:pPr>
      <w:r>
        <w:rPr>
          <w:rFonts w:hint="eastAsia" w:ascii="宋体" w:hAnsi="宋体" w:cs="宋体"/>
          <w:b/>
          <w:bCs/>
          <w:sz w:val="28"/>
          <w:szCs w:val="24"/>
          <w:highlight w:val="none"/>
        </w:rPr>
        <w:t>25、补充条款</w:t>
      </w:r>
    </w:p>
    <w:p w14:paraId="39EBB46D">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 承包人在工程施工管理过程中应当推行标准化管理，开工前应当建立健全各项规章制度和有关程序文件等，随时接受监理工程师和发包人的检查。</w:t>
      </w:r>
    </w:p>
    <w:p w14:paraId="64D08693">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 承包人的中标价作为合同价已经包含了发包人在招标文件中和招标答疑文件所提出承包（招标）范围内全部工程量的费用，承包人不得以投标时未计某一部分（不论在投标文件中注明与否）为由向发包人提出重新计价的要求。如图纸或施工现场发生变化，发包人与承包人另行签署补充协议，补充协议与本合同具备同等效力。</w:t>
      </w:r>
    </w:p>
    <w:p w14:paraId="23249548">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25.3 本工程施工过程中如遇村民等外界阻拦或干扰施工，交地后非征地遗留问题的协调工作由承包人负责，承包人必须保证项目按期完工。相关费用已包含在合同价款中，合同执行过程中不再单独计取。</w:t>
      </w:r>
    </w:p>
    <w:p w14:paraId="102E4027">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25.4 未经发包人同意，承包人不得将工程的任何部分进行分包。如有经查实后，除承包人立即纠正外，承包人应向发包人支付合同价款10%的违约金，且发包人有权终止合同。</w:t>
      </w:r>
    </w:p>
    <w:p w14:paraId="793CB093">
      <w:pPr>
        <w:spacing w:line="360" w:lineRule="auto"/>
        <w:ind w:firstLine="440" w:firstLineChars="200"/>
        <w:rPr>
          <w:rFonts w:hint="eastAsia" w:ascii="宋体" w:hAnsi="宋体" w:cs="宋体"/>
          <w:sz w:val="22"/>
          <w:highlight w:val="none"/>
          <w:u w:val="single"/>
          <w:lang w:val="zh-CN"/>
        </w:rPr>
      </w:pPr>
      <w:r>
        <w:rPr>
          <w:rFonts w:hint="eastAsia" w:ascii="宋体" w:hAnsi="宋体" w:cs="宋体"/>
          <w:sz w:val="22"/>
          <w:highlight w:val="none"/>
          <w:u w:val="single"/>
        </w:rPr>
        <w:t xml:space="preserve">25.5 </w:t>
      </w:r>
      <w:r>
        <w:rPr>
          <w:rFonts w:hint="eastAsia" w:ascii="宋体" w:hAnsi="宋体" w:cs="宋体"/>
          <w:sz w:val="22"/>
          <w:highlight w:val="none"/>
          <w:u w:val="single"/>
          <w:lang w:val="zh-CN"/>
        </w:rPr>
        <w:t>关于农民工工资支付的约定：</w:t>
      </w:r>
    </w:p>
    <w:p w14:paraId="1A9E0049">
      <w:pPr>
        <w:spacing w:line="360" w:lineRule="auto"/>
        <w:ind w:firstLine="440" w:firstLineChars="200"/>
        <w:rPr>
          <w:rFonts w:hint="eastAsia" w:ascii="宋体" w:hAnsi="宋体" w:cs="宋体"/>
          <w:sz w:val="22"/>
          <w:highlight w:val="none"/>
          <w:u w:val="single"/>
          <w:lang w:val="zh-CN"/>
        </w:rPr>
      </w:pPr>
      <w:r>
        <w:rPr>
          <w:rFonts w:hint="eastAsia" w:ascii="宋体" w:hAnsi="宋体" w:cs="宋体"/>
          <w:sz w:val="22"/>
          <w:highlight w:val="none"/>
          <w:u w:val="single"/>
        </w:rPr>
        <w:t>25</w:t>
      </w:r>
      <w:r>
        <w:rPr>
          <w:rFonts w:hint="eastAsia" w:ascii="宋体" w:hAnsi="宋体" w:cs="宋体"/>
          <w:sz w:val="22"/>
          <w:highlight w:val="none"/>
          <w:u w:val="single"/>
          <w:lang w:val="zh-CN"/>
        </w:rPr>
        <w:t>.5.1承包人是本工程农民工管理的责任人，全面负责施工过程中农民工的管理、用工合同管理和民工工资发放等工作。</w:t>
      </w:r>
    </w:p>
    <w:p w14:paraId="51A22CD5">
      <w:pPr>
        <w:spacing w:line="360" w:lineRule="auto"/>
        <w:ind w:firstLine="440" w:firstLineChars="200"/>
        <w:rPr>
          <w:rFonts w:hint="eastAsia" w:ascii="宋体" w:hAnsi="宋体" w:cs="宋体"/>
          <w:sz w:val="22"/>
          <w:highlight w:val="none"/>
          <w:u w:val="single"/>
          <w:lang w:val="zh-CN"/>
        </w:rPr>
      </w:pPr>
      <w:r>
        <w:rPr>
          <w:rFonts w:hint="eastAsia" w:ascii="宋体" w:hAnsi="宋体" w:cs="宋体"/>
          <w:sz w:val="22"/>
          <w:highlight w:val="none"/>
          <w:u w:val="single"/>
        </w:rPr>
        <w:t>25</w:t>
      </w:r>
      <w:r>
        <w:rPr>
          <w:rFonts w:hint="eastAsia" w:ascii="宋体" w:hAnsi="宋体" w:cs="宋体"/>
          <w:sz w:val="22"/>
          <w:highlight w:val="none"/>
          <w:u w:val="single"/>
          <w:lang w:val="zh-CN"/>
        </w:rPr>
        <w:t>.5.2承包人必须选择有劳务分包资质的劳务分包企业承担本工程施工任务，所招用农民工必须与施工企业或劳务分包企业签订有效劳动用工合同。</w:t>
      </w:r>
    </w:p>
    <w:p w14:paraId="01A9A24F">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w:t>
      </w:r>
      <w:r>
        <w:rPr>
          <w:rFonts w:hint="eastAsia" w:ascii="宋体" w:hAnsi="宋体" w:cs="宋体"/>
          <w:sz w:val="22"/>
          <w:highlight w:val="none"/>
          <w:u w:val="single"/>
          <w:lang w:val="zh-CN"/>
        </w:rPr>
        <w:t>.5.3承包人在施工过程中，必须确保按规定、按时足额支付农民工工资，农民工工资必须直接发放到民工本人手中。</w:t>
      </w:r>
    </w:p>
    <w:p w14:paraId="114F5A1E">
      <w:pPr>
        <w:spacing w:line="360" w:lineRule="auto"/>
        <w:ind w:firstLine="440" w:firstLineChars="200"/>
        <w:rPr>
          <w:rFonts w:hint="eastAsia" w:ascii="宋体" w:hAnsi="宋体" w:cs="宋体"/>
          <w:sz w:val="22"/>
          <w:highlight w:val="none"/>
          <w:u w:val="single"/>
          <w:lang w:val="zh-CN"/>
        </w:rPr>
      </w:pPr>
      <w:r>
        <w:rPr>
          <w:rFonts w:hint="eastAsia" w:ascii="宋体" w:hAnsi="宋体" w:cs="宋体"/>
          <w:sz w:val="22"/>
          <w:highlight w:val="none"/>
          <w:u w:val="single"/>
        </w:rPr>
        <w:t>25</w:t>
      </w:r>
      <w:r>
        <w:rPr>
          <w:rFonts w:hint="eastAsia" w:ascii="宋体" w:hAnsi="宋体" w:cs="宋体"/>
          <w:sz w:val="22"/>
          <w:highlight w:val="none"/>
          <w:u w:val="single"/>
          <w:lang w:val="zh-CN"/>
        </w:rPr>
        <w:t>.5.4承包人关于农民工工资的支付应遵守国家和省市有关规定以及《西安高新区建设领域农民工工资支付保障暂行办法》。承包人使用劳务分包和招聘的农民工情况，应当</w:t>
      </w:r>
      <w:r>
        <w:rPr>
          <w:rFonts w:hint="eastAsia" w:ascii="宋体" w:hAnsi="宋体" w:cs="宋体"/>
          <w:sz w:val="22"/>
          <w:highlight w:val="none"/>
          <w:u w:val="single"/>
        </w:rPr>
        <w:t>按月</w:t>
      </w:r>
      <w:r>
        <w:rPr>
          <w:rFonts w:hint="eastAsia" w:ascii="宋体" w:hAnsi="宋体" w:cs="宋体"/>
          <w:sz w:val="22"/>
          <w:highlight w:val="none"/>
          <w:u w:val="single"/>
          <w:lang w:val="zh-CN"/>
        </w:rPr>
        <w:t>向发包人</w:t>
      </w:r>
      <w:r>
        <w:rPr>
          <w:rFonts w:hint="eastAsia" w:ascii="宋体" w:hAnsi="宋体" w:cs="宋体"/>
          <w:sz w:val="22"/>
          <w:highlight w:val="none"/>
          <w:u w:val="single"/>
        </w:rPr>
        <w:t>和监理人</w:t>
      </w:r>
      <w:r>
        <w:rPr>
          <w:rFonts w:hint="eastAsia" w:ascii="宋体" w:hAnsi="宋体" w:cs="宋体"/>
          <w:sz w:val="22"/>
          <w:highlight w:val="none"/>
          <w:u w:val="single"/>
          <w:lang w:val="zh-CN"/>
        </w:rPr>
        <w:t>报送备案。发包人有权监督承包人在支付的当期进度款中发放农民工工资情况。如承包人拖欠农民工工资，影响到本工程的施工进度及工程质量，或因此发生农民工上诉、上访等群体事件的，</w:t>
      </w:r>
      <w:r>
        <w:rPr>
          <w:rFonts w:hint="eastAsia" w:ascii="宋体" w:hAnsi="宋体" w:cs="宋体"/>
          <w:sz w:val="22"/>
          <w:highlight w:val="none"/>
          <w:u w:val="single"/>
        </w:rPr>
        <w:t>视为承包人违约，</w:t>
      </w:r>
      <w:r>
        <w:rPr>
          <w:rFonts w:hint="eastAsia" w:ascii="宋体" w:hAnsi="宋体" w:cs="宋体"/>
          <w:sz w:val="22"/>
          <w:highlight w:val="none"/>
          <w:u w:val="single"/>
          <w:lang w:val="zh-CN"/>
        </w:rPr>
        <w:t>发包人有权在工程进度款中将承包人拖欠的工资和相关费用扣除，直接发放给农民工，</w:t>
      </w:r>
      <w:r>
        <w:rPr>
          <w:rFonts w:hint="eastAsia" w:ascii="宋体" w:hAnsi="宋体" w:cs="宋体"/>
          <w:sz w:val="22"/>
          <w:highlight w:val="none"/>
          <w:u w:val="single"/>
        </w:rPr>
        <w:t>并视同支付工程款</w:t>
      </w:r>
      <w:r>
        <w:rPr>
          <w:rFonts w:hint="eastAsia" w:ascii="宋体" w:hAnsi="宋体" w:cs="宋体"/>
          <w:sz w:val="22"/>
          <w:highlight w:val="none"/>
          <w:u w:val="single"/>
          <w:lang w:val="zh-CN"/>
        </w:rPr>
        <w:t>。在此情形下，承包人应向发包人支付拖欠工资总金额的10%违约金。发包人有权从工程结算款中直接扣除上述违约金。</w:t>
      </w:r>
    </w:p>
    <w:p w14:paraId="49FBBE6C">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25.6 承包人必须按照上报的并经监理和发包人审定的施工组织设计方案进行施工，不得任意修改和变更其内容、方法等。确需修改时，应当会同监理、发包人商议，取得监理和发包人同意。但不能因施工组织设计的变化而调整合同价。</w:t>
      </w:r>
    </w:p>
    <w:p w14:paraId="19D3412C">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25.7 监理工程师受发包人委托，在所规定的职责范围内对工程实施监理和管理监督，包括检查、签证、发出通知、指令等，承包方必须服从，接受并配合监理工程师的工作。</w:t>
      </w:r>
    </w:p>
    <w:p w14:paraId="041E2B62">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25.8 承包方必须按规定做好工程的安全管理、文明施工工作，施工现场扬尘污染防治，落实职业健康管理，必须达到市级文明工地标准和创卫标准。严格按文明工地和创卫标准施工，设立专用、分类垃圾场（箱），不得在施工区内任意堆放或乱倒垃圾，定期将垃圾清理外运。</w:t>
      </w:r>
    </w:p>
    <w:p w14:paraId="03142AEF">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25.9 承包人在进入施工现场直至工程竣工验收移交期间，应当遵守发包人的有关管理制度，接受发包人有关部门的相应管理。由于承包人过错或不服从发包人有关人员的管理出现承包人违纪、违章，造成发包人的道路、线路等设施损坏，环境受到破坏和污染，排水管道堵塞等，承包人均应进行纠正、修补、恢复并承担相应费用。</w:t>
      </w:r>
    </w:p>
    <w:p w14:paraId="7373E360">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25.10 承包人按照建设部门要求，在施工中采用新技术、新工艺时，不得另行向发包人提出增加费用的要求，由此产生的经济效益也不在合同价款调整范围内。承包人也不得据此提出变更设计。</w:t>
      </w:r>
    </w:p>
    <w:p w14:paraId="724DF19E">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25.11 施工过程中，资料和工程进度必须同步。每月发包人管理人员对施工进度和资料进行检查，出现问题限期整改，否则每超出限期一次支付违约金1000元。在工程竣工验收前，承包人要按规定将竣工资料交监理验收，由监理出据相应证明后，发包人方可组织验收。</w:t>
      </w:r>
    </w:p>
    <w:p w14:paraId="1E8A1368">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25.12 承包人安全管理人员必须持证上岗，严格按照“三标”管理体系运行管理，负责检查现场和施工人员安全情况。如监理和发包人发现有不安全因素存在且未采取预防保护的，每项支付违约金1000-5000元人民币（详见附件）；经指出未及时纠正，再次检查又发现问题的，则支付违约金2000-10000元/项（详见附件）和责令停工整改；出现安全事故的，承包人应当承担全部责任后果。若在施工期间发生安全生产伤亡事故，承包方应负责全部行政管理责任及伤亡人员的救治、善后事宜和相关费用。</w:t>
      </w:r>
    </w:p>
    <w:p w14:paraId="176AB26B">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25.13 承包人的项目经理部到位人员、投入劳动力、投入机械设备、投入周转材料等必须与投标施工组织设计所列相符，否则视为承包人违约，罚款1万元—30万元。</w:t>
      </w:r>
    </w:p>
    <w:p w14:paraId="01AB389D">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25.14 所有专业工种必须持证上岗，证书等级必须满足国家有关规定。</w:t>
      </w:r>
    </w:p>
    <w:p w14:paraId="0A80EA75">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25.15 施工过程中或检查验收时，若发现下列情况，视为承包人严重违约：</w:t>
      </w:r>
    </w:p>
    <w:p w14:paraId="467DEB0C">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（1）以欺诈、隐瞒、弄虚作假等不诚信的方式欺骗发包人和监理单位；</w:t>
      </w:r>
    </w:p>
    <w:p w14:paraId="3103357C">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（2）串通设计单位修改或变更设计图纸，串通监理单位共同作假；</w:t>
      </w:r>
    </w:p>
    <w:p w14:paraId="4D8ACC4A">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（3）隐蔽工程未经甲方或监理检查或验收即覆盖；</w:t>
      </w:r>
    </w:p>
    <w:p w14:paraId="21C62DBA">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（4）主要材料、设备采购前未经发包人或监理单位认质、检验不合格或明知检验不合格而强行使用；</w:t>
      </w:r>
    </w:p>
    <w:p w14:paraId="5D9A3DE4">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（5）主要材料、设备的规格、型号、技术参数、材质、外观、性能与施工图不符；</w:t>
      </w:r>
    </w:p>
    <w:p w14:paraId="491F8817">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上述行为一经核实，按以下原则进行处理：</w:t>
      </w:r>
    </w:p>
    <w:p w14:paraId="21781E1A">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（1）施工过程中若发现上述违约行为，承包人必须进行纠正，并向发包人交纳上述违约行为所涉及工程造价10倍的违约金，从进度款、结算款中扣除。</w:t>
      </w:r>
    </w:p>
    <w:p w14:paraId="64BFEC76">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工程竣工后若发现上述违约行为，能够纠正的，施工单位必须纠正，承包人应承担所有经济损失及相关责任，向发包人交纳上述违约行为所涉及工程造价10倍的违约金或者合同总价3%的违约金，以金额较高者为准。</w:t>
      </w:r>
    </w:p>
    <w:p w14:paraId="292EE94A">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（3）承包人拒不履行本款约定的，应承担合同违约的法律责任，并由发包人按有关规定报建设行政主管部门进行处理。</w:t>
      </w:r>
    </w:p>
    <w:p w14:paraId="1258CFE3">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25.16 承包人在开工前，必须自行了解西安高新区管委会有关工程建设方面最新的、详细的规定，并无条件遵守。</w:t>
      </w:r>
    </w:p>
    <w:p w14:paraId="02D38471">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25.17 承包方除严格履行本合同外，还应无条件参加西安高新区管委会或发包人组织的各种劳动竞赛活动，遵守活动规定，接受活动规定的奖励或惩罚。</w:t>
      </w:r>
    </w:p>
    <w:p w14:paraId="0933F294">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25.18 施工过程中，若发生本合同约定以外的事项时，双方应协商一致方可执行，承包人不得擅自作出任何决定。</w:t>
      </w:r>
    </w:p>
    <w:p w14:paraId="79C9D00E">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25.19如果承包人未采用封样材料，应立即整改并向发包人支付该单项工程合同价款10%的违约金。拒不整改或无法整改的，发包人有权扣除该项费用，且承包人应向发包人支付该单项工程合同价款10%的违约金。</w:t>
      </w:r>
    </w:p>
    <w:p w14:paraId="0A95653D">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25.20各项施工工序需经过监理人发包人验收合格后，方可开始下道工序施工。</w:t>
      </w:r>
    </w:p>
    <w:p w14:paraId="6BF0CF24">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25.21 合同履行过程中，如出现以下情况之一时，在发包人书面通知7天内未按照要求进行整改，发包人有权将合同中部分施工内容另行委托其他有资质的施工企业施工，并从承包人合同中扣除相应费用。且视为承包人违约，</w:t>
      </w:r>
      <w:r>
        <w:rPr>
          <w:rFonts w:hint="eastAsia" w:ascii="宋体" w:hAnsi="宋体" w:cs="宋体"/>
          <w:sz w:val="22"/>
          <w:highlight w:val="none"/>
          <w:u w:val="single"/>
          <w:lang w:val="zh-CN"/>
        </w:rPr>
        <w:t>承包人应向发包人支付</w:t>
      </w:r>
      <w:r>
        <w:rPr>
          <w:rFonts w:hint="eastAsia" w:ascii="宋体" w:hAnsi="宋体" w:cs="宋体"/>
          <w:sz w:val="22"/>
          <w:highlight w:val="none"/>
          <w:u w:val="single"/>
        </w:rPr>
        <w:t>该部分</w:t>
      </w:r>
      <w:r>
        <w:rPr>
          <w:rFonts w:hint="eastAsia" w:ascii="宋体" w:hAnsi="宋体" w:cs="宋体"/>
          <w:sz w:val="22"/>
          <w:highlight w:val="none"/>
          <w:u w:val="single"/>
          <w:lang w:val="zh-CN"/>
        </w:rPr>
        <w:t>总金额的10%违约金。</w:t>
      </w:r>
    </w:p>
    <w:p w14:paraId="236554C4">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（1）承包人投标文件人员配置表与实际到场人员不符，存在私自更换项目经理或主要负责人的情况；</w:t>
      </w:r>
    </w:p>
    <w:p w14:paraId="0C8D712C">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（2）承包人选择的劳务分包队伍无法满足质量、进度及安全等方面要求，监理单位已下发整改通知，承包人拒不整改，拒不更换劳务队伍；</w:t>
      </w:r>
    </w:p>
    <w:p w14:paraId="2E7B0131">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（3）承包人存在拖欠农民工工资，造成不良影响；</w:t>
      </w:r>
    </w:p>
    <w:p w14:paraId="632285B0">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（4）承包人在施工过程中粗制滥造、野蛮施工，经</w:t>
      </w:r>
      <w:r>
        <w:rPr>
          <w:rFonts w:hint="eastAsia" w:ascii="宋体" w:hAnsi="宋体" w:cs="宋体"/>
          <w:sz w:val="22"/>
          <w:highlight w:val="none"/>
          <w:u w:val="single"/>
          <w:lang w:val="en-US" w:eastAsia="zh-CN"/>
        </w:rPr>
        <w:t>发包人</w:t>
      </w:r>
      <w:r>
        <w:rPr>
          <w:rFonts w:hint="eastAsia" w:ascii="宋体" w:hAnsi="宋体" w:cs="宋体"/>
          <w:sz w:val="22"/>
          <w:highlight w:val="none"/>
          <w:u w:val="single"/>
        </w:rPr>
        <w:t>委托的第三方检测，质量不合格；</w:t>
      </w:r>
    </w:p>
    <w:p w14:paraId="582ABC5E">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（5）承包人在施工过程中出现安全事故；</w:t>
      </w:r>
    </w:p>
    <w:p w14:paraId="7DC83756">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 xml:space="preserve">（6）承包人未按安全文明实施细则落实； </w:t>
      </w:r>
    </w:p>
    <w:p w14:paraId="4EFAF643">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 xml:space="preserve">（7）因承包方原因达不到国家、省、市、西安高新区及发包人关于安全文明施工的要求规定和创卫标准时，承包人应切实整改达到此要求，整改后仍达不到该要求的； </w:t>
      </w:r>
    </w:p>
    <w:p w14:paraId="2EB8893B">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（8）非发包人原因导致的，承包人未能积极响应发包人的合理施工进度节点要求。</w:t>
      </w:r>
    </w:p>
    <w:p w14:paraId="22EA08A7">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（9）承包方在月度安全质量扬尘治理综合评比排名连续两次倒数后三名；</w:t>
      </w:r>
    </w:p>
    <w:p w14:paraId="46C76625">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（10）属于保修范围、内容的项目，质保期内存在需要维修的事宜，按《工程质量保修书》约定：（1</w:t>
      </w:r>
      <w:r>
        <w:rPr>
          <w:rFonts w:hint="eastAsia" w:ascii="宋体" w:hAnsi="宋体" w:cs="宋体"/>
          <w:sz w:val="22"/>
          <w:highlight w:val="none"/>
          <w:u w:val="single"/>
          <w:lang w:val="en-US" w:eastAsia="zh-CN"/>
        </w:rPr>
        <w:t>1</w:t>
      </w:r>
      <w:r>
        <w:rPr>
          <w:rFonts w:hint="eastAsia" w:ascii="宋体" w:hAnsi="宋体" w:cs="宋体"/>
          <w:sz w:val="22"/>
          <w:highlight w:val="none"/>
          <w:u w:val="single"/>
        </w:rPr>
        <w:t>）自接到</w:t>
      </w:r>
      <w:r>
        <w:rPr>
          <w:rFonts w:hint="eastAsia" w:ascii="宋体" w:hAnsi="宋体" w:cs="宋体"/>
          <w:sz w:val="22"/>
          <w:highlight w:val="none"/>
          <w:u w:val="single"/>
          <w:lang w:val="en-US" w:eastAsia="zh-CN"/>
        </w:rPr>
        <w:t>发包人</w:t>
      </w:r>
      <w:r>
        <w:rPr>
          <w:rFonts w:hint="eastAsia" w:ascii="宋体" w:hAnsi="宋体" w:cs="宋体"/>
          <w:sz w:val="22"/>
          <w:highlight w:val="none"/>
          <w:u w:val="single"/>
        </w:rPr>
        <w:t>通知时起，承包人7天内不能及时到场维修的；（2）发生紧急抢修事故的，不能立即到达事故现场抢修的。该部分违约金按《工程质量保修书》约定执行双倍扣除。</w:t>
      </w:r>
    </w:p>
    <w:p w14:paraId="4ED10C0C">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25.22界面划分</w:t>
      </w:r>
    </w:p>
    <w:p w14:paraId="243829F3">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25.22.1道路主体单位与自来水单位界面划分</w:t>
      </w:r>
    </w:p>
    <w:p w14:paraId="201A0A44">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道路主体单位路床平整完成后移交；自来水单位完成给水管网建设回填至管顶50公分移交。</w:t>
      </w:r>
    </w:p>
    <w:p w14:paraId="11782AF6">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25.22.2道路主体单位与绿化单位界面划分</w:t>
      </w:r>
    </w:p>
    <w:p w14:paraId="0CA59504">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 xml:space="preserve">道路主体单位完成中面层、路缘石、路灯穿线管、按绿化要求完成绿化带破除开挖（符合道路成品保护要求）及素土回填后移交；绿化单位完成土质改良达到种植要求、种植土回填、苗木种植后移交。  </w:t>
      </w:r>
    </w:p>
    <w:p w14:paraId="592905DA">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25.23 成品和半成品保护</w:t>
      </w:r>
    </w:p>
    <w:p w14:paraId="43C0593C">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地下管网、检查井、路灯、机动车道、路缘石、非机动车道、人行道、绿化工程等进行成品保护。</w:t>
      </w:r>
    </w:p>
    <w:p w14:paraId="298F8F91">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25.24样板段</w:t>
      </w:r>
    </w:p>
    <w:p w14:paraId="538C7BD4">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样板段的约定：本工程以样板引路，各工序必须样板先行。施工工序样板要逐级展示每道工艺的施工成果，以达到对工人进行实物交底的需要。</w:t>
      </w:r>
    </w:p>
    <w:p w14:paraId="4249A04A">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25.25工程样板清单：非机动车道样板、人行道样板、城市家具</w:t>
      </w:r>
    </w:p>
    <w:p w14:paraId="6F5D2079">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双方关于样板验收的有关</w:t>
      </w:r>
      <w:bookmarkStart w:id="588" w:name="_Toc380530328"/>
      <w:bookmarkStart w:id="589" w:name="_Toc380530584"/>
      <w:r>
        <w:rPr>
          <w:rFonts w:hint="eastAsia" w:ascii="宋体" w:hAnsi="宋体" w:cs="宋体"/>
          <w:sz w:val="22"/>
          <w:highlight w:val="none"/>
          <w:u w:val="single"/>
        </w:rPr>
        <w:t>管理办法：</w:t>
      </w:r>
    </w:p>
    <w:bookmarkEnd w:id="588"/>
    <w:bookmarkEnd w:id="589"/>
    <w:p w14:paraId="6E03FA52">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承包人在发包人要求时间内提供施工样板计划并报监理、发包人审批，经同意后方可实施。承包人应在发包人指定的位置，科学合理安排人员，进行工法样板的施工，并在合理要求的时间段内完成，经监理、发包人确认且工序实物交底后方可按照发包人确定的施工方案开始大面积（或局部）施工。</w:t>
      </w:r>
    </w:p>
    <w:p w14:paraId="2A229659">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25.26过程检查和验收</w:t>
      </w:r>
    </w:p>
    <w:p w14:paraId="523B1112">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总包单位需对自来水、天然气、热力单位施工质量进行监管验收。自来水、天然气、热力单位应接受发包人第三方检测、过程检查及验收，合格后方可进入下道工序。</w:t>
      </w:r>
    </w:p>
    <w:p w14:paraId="7B5EBEF5">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25.27押金</w:t>
      </w:r>
    </w:p>
    <w:p w14:paraId="731DD0B1">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承包人经发包人同意后向自来水单位、天然气单位、热力单位收取文明施工押金及成品保护押金。如分包单位施工过程造成成品破坏但拒绝维修的或文明施工管理不善造成通报批评的，经发包人及承包人现场核实后扣除押金，且不足部分在责任单位进度款中扣除。</w:t>
      </w:r>
    </w:p>
    <w:p w14:paraId="16F0493F">
      <w:pPr>
        <w:spacing w:line="360" w:lineRule="auto"/>
        <w:ind w:firstLine="440" w:firstLineChars="200"/>
        <w:rPr>
          <w:rFonts w:hint="eastAsia" w:ascii="宋体" w:hAnsi="宋体" w:cs="宋体"/>
          <w:sz w:val="22"/>
          <w:highlight w:val="none"/>
          <w:u w:val="single"/>
        </w:rPr>
      </w:pPr>
      <w:r>
        <w:rPr>
          <w:rFonts w:hint="eastAsia" w:ascii="宋体" w:hAnsi="宋体" w:cs="宋体"/>
          <w:sz w:val="22"/>
          <w:highlight w:val="none"/>
          <w:u w:val="single"/>
        </w:rPr>
        <w:t>押金收取标准：20米宽道路3万元、30米宽道路4万元、40米宽道路5万元、60米宽道路10万元。</w:t>
      </w:r>
    </w:p>
    <w:p w14:paraId="3DA3D671">
      <w:pPr>
        <w:pStyle w:val="9"/>
        <w:rPr>
          <w:rFonts w:hint="eastAsia"/>
          <w:sz w:val="28"/>
          <w:szCs w:val="21"/>
          <w:highlight w:val="none"/>
        </w:rPr>
      </w:pPr>
    </w:p>
    <w:p w14:paraId="1C9D5DED">
      <w:pPr>
        <w:pStyle w:val="9"/>
        <w:ind w:left="0"/>
        <w:rPr>
          <w:rFonts w:hint="eastAsia" w:ascii="宋体" w:hAnsi="宋体" w:cs="宋体"/>
          <w:sz w:val="28"/>
          <w:szCs w:val="21"/>
          <w:highlight w:val="none"/>
        </w:rPr>
      </w:pPr>
    </w:p>
    <w:p w14:paraId="3C44661C">
      <w:pPr>
        <w:widowControl/>
        <w:ind w:firstLine="840" w:firstLineChars="300"/>
        <w:jc w:val="left"/>
        <w:rPr>
          <w:rFonts w:hint="eastAsia" w:ascii="宋体" w:hAnsi="宋体" w:cs="宋体"/>
          <w:sz w:val="28"/>
          <w:szCs w:val="28"/>
          <w:highlight w:val="none"/>
        </w:rPr>
      </w:pPr>
      <w:r>
        <w:rPr>
          <w:rFonts w:hint="eastAsia" w:ascii="宋体" w:hAnsi="宋体" w:cs="宋体"/>
          <w:sz w:val="28"/>
          <w:szCs w:val="24"/>
          <w:highlight w:val="none"/>
        </w:rPr>
        <w:br w:type="page"/>
      </w:r>
      <w:r>
        <w:rPr>
          <w:rFonts w:hint="eastAsia" w:ascii="宋体" w:hAnsi="宋体" w:cs="宋体"/>
          <w:sz w:val="28"/>
          <w:szCs w:val="28"/>
          <w:highlight w:val="none"/>
        </w:rPr>
        <w:t>附件一：工程质量保修书</w:t>
      </w:r>
    </w:p>
    <w:p w14:paraId="08CB491F">
      <w:pPr>
        <w:widowControl/>
        <w:ind w:firstLine="840" w:firstLineChars="300"/>
        <w:jc w:val="left"/>
        <w:rPr>
          <w:rFonts w:hint="eastAsia" w:ascii="宋体" w:hAnsi="宋体" w:cs="宋体"/>
          <w:sz w:val="28"/>
          <w:szCs w:val="28"/>
          <w:highlight w:val="none"/>
        </w:rPr>
      </w:pPr>
      <w:r>
        <w:rPr>
          <w:rFonts w:hint="eastAsia" w:ascii="宋体" w:hAnsi="宋体" w:cs="宋体"/>
          <w:sz w:val="28"/>
          <w:szCs w:val="28"/>
          <w:highlight w:val="none"/>
        </w:rPr>
        <w:t>附件二：建筑工程安全文明施工措施项目清单</w:t>
      </w:r>
    </w:p>
    <w:p w14:paraId="64FC7731">
      <w:pPr>
        <w:widowControl/>
        <w:ind w:firstLine="840" w:firstLineChars="300"/>
        <w:jc w:val="left"/>
        <w:rPr>
          <w:rFonts w:hint="eastAsia" w:ascii="宋体" w:hAnsi="宋体" w:cs="宋体"/>
          <w:sz w:val="28"/>
          <w:szCs w:val="28"/>
          <w:highlight w:val="none"/>
        </w:rPr>
      </w:pPr>
      <w:r>
        <w:rPr>
          <w:rFonts w:hint="eastAsia" w:ascii="宋体" w:hAnsi="宋体" w:cs="宋体"/>
          <w:sz w:val="28"/>
          <w:szCs w:val="28"/>
          <w:highlight w:val="none"/>
        </w:rPr>
        <w:t>附件三：建设工程施工安全协议书</w:t>
      </w:r>
    </w:p>
    <w:p w14:paraId="6E6AF70B">
      <w:pPr>
        <w:widowControl/>
        <w:ind w:firstLine="840" w:firstLineChars="300"/>
        <w:jc w:val="left"/>
        <w:rPr>
          <w:rFonts w:hint="eastAsia" w:ascii="宋体" w:hAnsi="宋体" w:cs="宋体"/>
          <w:sz w:val="28"/>
          <w:szCs w:val="28"/>
          <w:highlight w:val="none"/>
        </w:rPr>
      </w:pPr>
      <w:r>
        <w:rPr>
          <w:rFonts w:hint="eastAsia" w:ascii="宋体" w:hAnsi="宋体" w:cs="宋体"/>
          <w:sz w:val="28"/>
          <w:szCs w:val="28"/>
          <w:highlight w:val="none"/>
        </w:rPr>
        <w:t>附件四：安全、质量、扬尘污染防治承诺书</w:t>
      </w:r>
    </w:p>
    <w:p w14:paraId="688BD3DE">
      <w:pPr>
        <w:widowControl/>
        <w:ind w:firstLine="840" w:firstLineChars="300"/>
        <w:jc w:val="left"/>
        <w:rPr>
          <w:rFonts w:hint="eastAsia" w:ascii="宋体" w:hAnsi="宋体" w:cs="宋体"/>
          <w:sz w:val="28"/>
          <w:szCs w:val="28"/>
          <w:highlight w:val="none"/>
        </w:rPr>
      </w:pPr>
      <w:r>
        <w:rPr>
          <w:rFonts w:hint="eastAsia" w:ascii="宋体" w:hAnsi="宋体" w:cs="宋体"/>
          <w:sz w:val="28"/>
          <w:szCs w:val="28"/>
          <w:highlight w:val="none"/>
        </w:rPr>
        <w:t>附件五：廉政协议书</w:t>
      </w:r>
    </w:p>
    <w:p w14:paraId="4329AC0A">
      <w:pPr>
        <w:widowControl/>
        <w:ind w:firstLine="840" w:firstLineChars="300"/>
        <w:jc w:val="left"/>
        <w:rPr>
          <w:rFonts w:hint="eastAsia" w:ascii="宋体" w:hAnsi="宋体" w:cs="宋体"/>
          <w:sz w:val="28"/>
          <w:szCs w:val="28"/>
          <w:highlight w:val="none"/>
        </w:rPr>
      </w:pPr>
      <w:r>
        <w:rPr>
          <w:rFonts w:hint="eastAsia" w:ascii="宋体" w:hAnsi="宋体" w:cs="宋体"/>
          <w:sz w:val="28"/>
          <w:szCs w:val="28"/>
          <w:highlight w:val="none"/>
        </w:rPr>
        <w:t>附件六：承包人杜绝转包、违法分包和拖欠民工工资行为承诺书</w:t>
      </w:r>
    </w:p>
    <w:p w14:paraId="0EE65F70">
      <w:pPr>
        <w:widowControl/>
        <w:ind w:firstLine="840" w:firstLineChars="300"/>
        <w:jc w:val="left"/>
        <w:rPr>
          <w:rFonts w:hint="eastAsia" w:ascii="宋体" w:hAnsi="宋体" w:cs="宋体"/>
          <w:sz w:val="28"/>
          <w:szCs w:val="28"/>
          <w:highlight w:val="none"/>
        </w:rPr>
      </w:pPr>
      <w:r>
        <w:rPr>
          <w:rFonts w:hint="eastAsia" w:ascii="宋体" w:hAnsi="宋体" w:cs="宋体"/>
          <w:sz w:val="28"/>
          <w:szCs w:val="28"/>
          <w:highlight w:val="none"/>
        </w:rPr>
        <w:t>附件七：联合体协议书</w:t>
      </w:r>
    </w:p>
    <w:p w14:paraId="45F7F9C5">
      <w:pPr>
        <w:spacing w:line="360" w:lineRule="auto"/>
        <w:ind w:firstLine="840" w:firstLineChars="300"/>
        <w:rPr>
          <w:rFonts w:hint="eastAsia" w:ascii="宋体" w:hAnsi="宋体" w:cs="宋体"/>
          <w:sz w:val="28"/>
          <w:szCs w:val="28"/>
          <w:highlight w:val="none"/>
        </w:rPr>
      </w:pPr>
      <w:r>
        <w:rPr>
          <w:rFonts w:hint="eastAsia" w:ascii="宋体" w:hAnsi="宋体" w:cs="宋体"/>
          <w:sz w:val="28"/>
          <w:szCs w:val="28"/>
          <w:highlight w:val="none"/>
        </w:rPr>
        <w:t>附件八：施工技术标准和要求</w:t>
      </w:r>
    </w:p>
    <w:p w14:paraId="10F03B1A">
      <w:pPr>
        <w:spacing w:line="360" w:lineRule="auto"/>
        <w:ind w:firstLine="840" w:firstLineChars="300"/>
        <w:rPr>
          <w:rFonts w:hint="eastAsia" w:ascii="宋体" w:hAnsi="宋体" w:cs="宋体"/>
          <w:sz w:val="28"/>
          <w:szCs w:val="28"/>
          <w:highlight w:val="none"/>
        </w:rPr>
      </w:pPr>
      <w:r>
        <w:rPr>
          <w:rFonts w:hint="eastAsia" w:ascii="宋体" w:hAnsi="宋体" w:cs="宋体"/>
          <w:sz w:val="28"/>
          <w:szCs w:val="28"/>
          <w:highlight w:val="none"/>
        </w:rPr>
        <w:t>附件九：设计任务书</w:t>
      </w:r>
    </w:p>
    <w:p w14:paraId="6C8B774F">
      <w:pPr>
        <w:spacing w:line="360" w:lineRule="auto"/>
        <w:ind w:firstLine="840" w:firstLineChars="300"/>
        <w:rPr>
          <w:rFonts w:hint="eastAsia" w:ascii="宋体" w:hAnsi="宋体" w:cs="宋体"/>
          <w:sz w:val="28"/>
          <w:szCs w:val="28"/>
          <w:highlight w:val="none"/>
        </w:rPr>
      </w:pPr>
      <w:r>
        <w:rPr>
          <w:rFonts w:hint="eastAsia" w:ascii="宋体" w:hAnsi="宋体" w:cs="宋体"/>
          <w:sz w:val="28"/>
          <w:szCs w:val="28"/>
          <w:highlight w:val="none"/>
        </w:rPr>
        <w:t>附件十：施工单位项目经理质量终身责任承诺书</w:t>
      </w:r>
    </w:p>
    <w:p w14:paraId="20F6A863">
      <w:pPr>
        <w:spacing w:line="360" w:lineRule="auto"/>
        <w:ind w:firstLine="840" w:firstLineChars="300"/>
        <w:rPr>
          <w:rFonts w:hint="eastAsia" w:ascii="宋体" w:hAnsi="宋体" w:cs="宋体"/>
          <w:sz w:val="28"/>
          <w:szCs w:val="28"/>
          <w:highlight w:val="none"/>
        </w:rPr>
      </w:pPr>
      <w:r>
        <w:rPr>
          <w:rFonts w:hint="eastAsia" w:ascii="宋体" w:hAnsi="宋体" w:cs="宋体"/>
          <w:sz w:val="28"/>
          <w:szCs w:val="28"/>
          <w:highlight w:val="none"/>
        </w:rPr>
        <w:t>附件十一：施工单位管理人员在岗履职承诺书</w:t>
      </w:r>
    </w:p>
    <w:p w14:paraId="487E2920">
      <w:pPr>
        <w:spacing w:line="360" w:lineRule="auto"/>
        <w:ind w:firstLine="840" w:firstLineChars="300"/>
        <w:rPr>
          <w:rFonts w:hint="eastAsia" w:ascii="宋体" w:hAnsi="宋体" w:cs="宋体"/>
          <w:sz w:val="28"/>
          <w:szCs w:val="28"/>
          <w:highlight w:val="none"/>
        </w:rPr>
      </w:pPr>
      <w:r>
        <w:rPr>
          <w:rFonts w:hint="eastAsia" w:ascii="宋体" w:hAnsi="宋体" w:cs="宋体"/>
          <w:sz w:val="28"/>
          <w:szCs w:val="28"/>
          <w:highlight w:val="none"/>
        </w:rPr>
        <w:t>附件十二：施工单位、监理单位考核标准</w:t>
      </w:r>
    </w:p>
    <w:p w14:paraId="1A29BA24">
      <w:pPr>
        <w:spacing w:line="360" w:lineRule="auto"/>
        <w:ind w:firstLine="840" w:firstLineChars="300"/>
        <w:rPr>
          <w:rFonts w:hint="eastAsia" w:ascii="宋体" w:hAnsi="宋体" w:cs="宋体"/>
          <w:sz w:val="28"/>
          <w:szCs w:val="28"/>
          <w:highlight w:val="none"/>
        </w:rPr>
      </w:pPr>
      <w:r>
        <w:rPr>
          <w:rFonts w:hint="eastAsia" w:ascii="宋体" w:hAnsi="宋体" w:cs="宋体"/>
          <w:sz w:val="28"/>
          <w:szCs w:val="28"/>
          <w:highlight w:val="none"/>
        </w:rPr>
        <w:t>附件十三：配合承包人检查、考核承诺书</w:t>
      </w:r>
    </w:p>
    <w:p w14:paraId="4B6AFCEA">
      <w:pPr>
        <w:spacing w:line="360" w:lineRule="auto"/>
        <w:ind w:firstLine="840" w:firstLineChars="300"/>
        <w:rPr>
          <w:rFonts w:hint="eastAsia" w:ascii="宋体" w:hAnsi="宋体" w:cs="宋体"/>
          <w:sz w:val="28"/>
          <w:szCs w:val="28"/>
          <w:highlight w:val="none"/>
        </w:rPr>
      </w:pPr>
      <w:r>
        <w:rPr>
          <w:rFonts w:hint="eastAsia" w:ascii="宋体" w:hAnsi="宋体" w:cs="宋体"/>
          <w:sz w:val="28"/>
          <w:szCs w:val="28"/>
          <w:highlight w:val="none"/>
        </w:rPr>
        <w:t>附件十四：园林绿化养护管理分级及质量要求</w:t>
      </w:r>
    </w:p>
    <w:p w14:paraId="72C84633">
      <w:pPr>
        <w:spacing w:line="360" w:lineRule="auto"/>
        <w:ind w:firstLine="840" w:firstLineChars="300"/>
        <w:rPr>
          <w:rFonts w:hint="eastAsia" w:ascii="宋体" w:hAnsi="宋体" w:cs="宋体"/>
          <w:sz w:val="28"/>
          <w:szCs w:val="28"/>
          <w:highlight w:val="none"/>
        </w:rPr>
      </w:pPr>
      <w:r>
        <w:rPr>
          <w:rFonts w:hint="eastAsia" w:ascii="宋体" w:hAnsi="宋体" w:cs="宋体"/>
          <w:sz w:val="28"/>
          <w:szCs w:val="28"/>
          <w:highlight w:val="none"/>
        </w:rPr>
        <w:t>附件十</w:t>
      </w:r>
      <w:r>
        <w:rPr>
          <w:rFonts w:hint="eastAsia" w:ascii="宋体" w:hAnsi="宋体" w:cs="宋体"/>
          <w:sz w:val="28"/>
          <w:szCs w:val="28"/>
          <w:highlight w:val="none"/>
          <w:lang w:val="en-US" w:eastAsia="zh-CN"/>
        </w:rPr>
        <w:t>五</w:t>
      </w:r>
      <w:r>
        <w:rPr>
          <w:rFonts w:hint="eastAsia" w:ascii="宋体" w:hAnsi="宋体" w:cs="宋体"/>
          <w:sz w:val="28"/>
          <w:szCs w:val="28"/>
          <w:highlight w:val="none"/>
        </w:rPr>
        <w:t>:农民工工资专用账户开户(保证金缴存)告知书</w:t>
      </w:r>
    </w:p>
    <w:p w14:paraId="5C93646F">
      <w:pPr>
        <w:spacing w:line="360" w:lineRule="auto"/>
        <w:rPr>
          <w:rFonts w:hint="eastAsia" w:ascii="宋体" w:hAnsi="宋体" w:cs="宋体"/>
          <w:sz w:val="28"/>
          <w:szCs w:val="24"/>
          <w:highlight w:val="none"/>
        </w:rPr>
      </w:pPr>
    </w:p>
    <w:p w14:paraId="0168D33D">
      <w:pPr>
        <w:rPr>
          <w:rFonts w:hint="eastAsia"/>
          <w:sz w:val="22"/>
          <w:szCs w:val="24"/>
          <w:highlight w:val="none"/>
        </w:rPr>
      </w:pPr>
      <w:r>
        <w:rPr>
          <w:rFonts w:hint="eastAsia" w:ascii="宋体" w:hAnsi="宋体" w:cs="宋体"/>
          <w:sz w:val="28"/>
          <w:szCs w:val="24"/>
          <w:highlight w:val="none"/>
        </w:rPr>
        <w:br w:type="page"/>
      </w:r>
    </w:p>
    <w:p w14:paraId="140AED3A">
      <w:pPr>
        <w:widowControl/>
        <w:jc w:val="left"/>
        <w:rPr>
          <w:rFonts w:hint="eastAsia" w:ascii="宋体" w:hAnsi="宋体" w:cs="宋体"/>
          <w:sz w:val="24"/>
          <w:highlight w:val="none"/>
        </w:rPr>
      </w:pPr>
      <w:r>
        <w:rPr>
          <w:rFonts w:hint="eastAsia" w:ascii="宋体" w:hAnsi="宋体" w:cs="宋体"/>
          <w:sz w:val="24"/>
          <w:highlight w:val="none"/>
        </w:rPr>
        <w:t>附件一：</w:t>
      </w:r>
    </w:p>
    <w:p w14:paraId="1E7C0D26">
      <w:pPr>
        <w:spacing w:line="360" w:lineRule="auto"/>
        <w:jc w:val="center"/>
        <w:rPr>
          <w:rFonts w:hint="eastAsia" w:ascii="宋体" w:hAnsi="宋体" w:cs="宋体"/>
          <w:b/>
          <w:sz w:val="32"/>
          <w:szCs w:val="32"/>
          <w:highlight w:val="none"/>
        </w:rPr>
      </w:pPr>
      <w:r>
        <w:rPr>
          <w:rFonts w:hint="eastAsia" w:ascii="宋体" w:hAnsi="宋体" w:cs="宋体"/>
          <w:b/>
          <w:sz w:val="32"/>
          <w:szCs w:val="32"/>
          <w:highlight w:val="none"/>
        </w:rPr>
        <w:t>工程质量保修书</w:t>
      </w:r>
    </w:p>
    <w:p w14:paraId="461F31B1">
      <w:pPr>
        <w:spacing w:line="420" w:lineRule="atLeast"/>
        <w:ind w:firstLine="480" w:firstLineChars="200"/>
        <w:rPr>
          <w:rFonts w:hint="eastAsia" w:ascii="宋体" w:hAnsi="宋体" w:cs="宋体"/>
          <w:sz w:val="24"/>
          <w:highlight w:val="none"/>
          <w:u w:val="single"/>
        </w:rPr>
      </w:pPr>
      <w:r>
        <w:rPr>
          <w:rFonts w:hint="eastAsia" w:ascii="宋体" w:hAnsi="宋体" w:cs="宋体"/>
          <w:sz w:val="24"/>
          <w:highlight w:val="none"/>
        </w:rPr>
        <w:t>发包人（全称）：</w:t>
      </w:r>
      <w:r>
        <w:rPr>
          <w:rFonts w:hint="eastAsia" w:ascii="宋体" w:hAnsi="宋体" w:cs="宋体"/>
          <w:sz w:val="24"/>
          <w:highlight w:val="none"/>
          <w:u w:val="single"/>
        </w:rPr>
        <w:t>西安高新技术产业开发区公共项目建设管理中心</w:t>
      </w:r>
    </w:p>
    <w:p w14:paraId="63B2C2EB">
      <w:pPr>
        <w:spacing w:line="420" w:lineRule="atLeast"/>
        <w:ind w:firstLine="480" w:firstLineChars="200"/>
        <w:rPr>
          <w:rFonts w:ascii="宋体" w:hAnsi="宋体" w:cs="宋体"/>
          <w:sz w:val="24"/>
          <w:highlight w:val="none"/>
          <w:u w:val="single"/>
        </w:rPr>
      </w:pPr>
      <w:r>
        <w:rPr>
          <w:rFonts w:hint="eastAsia" w:ascii="宋体" w:hAnsi="宋体" w:cs="宋体"/>
          <w:sz w:val="24"/>
          <w:highlight w:val="none"/>
        </w:rPr>
        <w:t>承包人（全称）：</w:t>
      </w:r>
      <w:r>
        <w:rPr>
          <w:rFonts w:hint="default" w:ascii="Times New Roman" w:hAnsi="Times New Roman" w:cs="Times New Roman"/>
          <w:color w:val="auto"/>
          <w:sz w:val="24"/>
          <w:highlight w:val="none"/>
          <w:u w:val="single"/>
        </w:rPr>
        <w:t>陕西建工集团股份有限公司</w:t>
      </w:r>
    </w:p>
    <w:p w14:paraId="670A64FC">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为保证</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韦斗大道（纬二十路）（经四十路—造字台路）道路工程EPC工程总承包</w:t>
      </w:r>
      <w:r>
        <w:rPr>
          <w:rFonts w:hint="eastAsia" w:ascii="宋体" w:hAnsi="宋体" w:cs="宋体"/>
          <w:sz w:val="24"/>
          <w:highlight w:val="none"/>
          <w:u w:val="single"/>
        </w:rPr>
        <w:t xml:space="preserve"> </w:t>
      </w:r>
      <w:r>
        <w:rPr>
          <w:rFonts w:hint="eastAsia" w:ascii="宋体" w:hAnsi="宋体" w:cs="宋体"/>
          <w:sz w:val="24"/>
          <w:highlight w:val="none"/>
        </w:rPr>
        <w:t>在合理使用期限内正常使用，发包人、承包人协商一致签订工程质量保修书。承包人在质量保修期内按照有关管理规定及</w:t>
      </w:r>
      <w:r>
        <w:rPr>
          <w:rFonts w:hint="eastAsia" w:ascii="宋体" w:hAnsi="宋体" w:cs="宋体"/>
          <w:sz w:val="24"/>
          <w:highlight w:val="none"/>
          <w:lang w:val="en-US" w:eastAsia="zh-CN"/>
        </w:rPr>
        <w:t>双</w:t>
      </w:r>
      <w:r>
        <w:rPr>
          <w:rFonts w:hint="eastAsia" w:ascii="宋体" w:hAnsi="宋体" w:cs="宋体"/>
          <w:sz w:val="24"/>
          <w:highlight w:val="none"/>
        </w:rPr>
        <w:t>方约定承担工程质量保修责任。</w:t>
      </w:r>
    </w:p>
    <w:p w14:paraId="35611B63">
      <w:p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rPr>
        <w:t>一、工程质量保修范围和内容</w:t>
      </w:r>
    </w:p>
    <w:p w14:paraId="49EC5781">
      <w:pPr>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rPr>
        <w:t>具体质量保修内容双方约定如下：</w:t>
      </w:r>
      <w:r>
        <w:rPr>
          <w:rFonts w:hint="eastAsia" w:ascii="宋体" w:hAnsi="宋体" w:cs="宋体"/>
          <w:sz w:val="24"/>
          <w:highlight w:val="none"/>
          <w:u w:val="single"/>
        </w:rPr>
        <w:t>施工图纸范围内的全部工程内容。</w:t>
      </w:r>
    </w:p>
    <w:p w14:paraId="425B2F18">
      <w:p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rPr>
        <w:t>二、质量保修期</w:t>
      </w:r>
    </w:p>
    <w:p w14:paraId="38367090">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质量保修期自工程竣工验收合格之日起计算。分单项竣工验收的工程，按单项工程分别计算质量保修期。</w:t>
      </w:r>
    </w:p>
    <w:p w14:paraId="26B5556D">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双</w:t>
      </w:r>
      <w:r>
        <w:rPr>
          <w:rFonts w:hint="eastAsia" w:ascii="宋体" w:hAnsi="宋体" w:cs="宋体"/>
          <w:sz w:val="24"/>
          <w:highlight w:val="none"/>
        </w:rPr>
        <w:t>方根据《建设工程质量管理条例》及国家有关规定，结合具体工程约定质量保修期如下：</w:t>
      </w:r>
    </w:p>
    <w:p w14:paraId="0733F204">
      <w:pPr>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rPr>
        <w:t>1. 土建工程为：</w:t>
      </w:r>
      <w:r>
        <w:rPr>
          <w:rFonts w:hint="eastAsia" w:ascii="宋体" w:hAnsi="宋体" w:cs="宋体"/>
          <w:sz w:val="24"/>
          <w:highlight w:val="none"/>
          <w:u w:val="single"/>
        </w:rPr>
        <w:t>基础设施工程、房屋建筑的地基基础工程和主体结构工程，为设计文件规定的该工程的合理使用年限；屋面防水工程、有防水要求的卫生间、房间和外墙面、电力沟等的防渗漏，为5年；外墙外保温的保修期，5年。</w:t>
      </w:r>
    </w:p>
    <w:p w14:paraId="2608E19B">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 电气管线、给排水管道、设备安装和装修工程，为</w:t>
      </w:r>
      <w:r>
        <w:rPr>
          <w:rFonts w:hint="eastAsia" w:ascii="宋体" w:hAnsi="宋体" w:cs="宋体"/>
          <w:sz w:val="24"/>
          <w:highlight w:val="none"/>
          <w:u w:val="single"/>
        </w:rPr>
        <w:t>２</w:t>
      </w:r>
      <w:r>
        <w:rPr>
          <w:rFonts w:hint="eastAsia" w:ascii="宋体" w:hAnsi="宋体" w:cs="宋体"/>
          <w:sz w:val="24"/>
          <w:highlight w:val="none"/>
        </w:rPr>
        <w:t>年；</w:t>
      </w:r>
    </w:p>
    <w:p w14:paraId="22FE423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 供热及供冷为</w:t>
      </w:r>
      <w:r>
        <w:rPr>
          <w:rFonts w:hint="eastAsia" w:ascii="宋体" w:hAnsi="宋体" w:cs="宋体"/>
          <w:sz w:val="24"/>
          <w:highlight w:val="none"/>
          <w:u w:val="single"/>
        </w:rPr>
        <w:t>2</w:t>
      </w:r>
      <w:r>
        <w:rPr>
          <w:rFonts w:hint="eastAsia" w:ascii="宋体" w:hAnsi="宋体" w:cs="宋体"/>
          <w:sz w:val="24"/>
          <w:highlight w:val="none"/>
        </w:rPr>
        <w:t>个采暖期及供冷期；</w:t>
      </w:r>
    </w:p>
    <w:p w14:paraId="07785DF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 室外的上下水和小区道路等市政公用工程为</w:t>
      </w:r>
      <w:r>
        <w:rPr>
          <w:rFonts w:hint="eastAsia" w:ascii="宋体" w:hAnsi="宋体" w:cs="宋体"/>
          <w:sz w:val="24"/>
          <w:highlight w:val="none"/>
          <w:u w:val="single"/>
        </w:rPr>
        <w:t>2</w:t>
      </w:r>
      <w:r>
        <w:rPr>
          <w:rFonts w:hint="eastAsia" w:ascii="宋体" w:hAnsi="宋体" w:cs="宋体"/>
          <w:sz w:val="24"/>
          <w:highlight w:val="none"/>
        </w:rPr>
        <w:t>年；</w:t>
      </w:r>
    </w:p>
    <w:p w14:paraId="4CE9CDA7">
      <w:pPr>
        <w:adjustRightInd w:val="0"/>
        <w:snapToGrid w:val="0"/>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rPr>
        <w:t>5.其他约定：</w:t>
      </w:r>
      <w:r>
        <w:rPr>
          <w:rFonts w:hint="eastAsia" w:ascii="宋体" w:hAnsi="宋体" w:cs="宋体"/>
          <w:sz w:val="24"/>
          <w:highlight w:val="none"/>
          <w:u w:val="single"/>
        </w:rPr>
        <w:t>设备、材料等原制造厂商承诺的质保期多于2年的从其约定，但原制造厂商承诺的质保期少于2年的，承包人须保证质保期不少于2年</w:t>
      </w:r>
      <w:r>
        <w:rPr>
          <w:rFonts w:hint="eastAsia" w:ascii="宋体" w:hAnsi="宋体" w:cs="宋体"/>
          <w:sz w:val="24"/>
          <w:highlight w:val="none"/>
        </w:rPr>
        <w:t>。</w:t>
      </w:r>
    </w:p>
    <w:p w14:paraId="787DDB80">
      <w:p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rPr>
        <w:t>三、质量保修责任</w:t>
      </w:r>
    </w:p>
    <w:p w14:paraId="68934FF0">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 属于保修范围和内容的项目，承包人应在接到修理通知之日后3日内派人修理。承包人不在约定期限内派人修理，发包人有权委托第三方维修，维修费用双倍从质量保修金内扣除，费用不足部分由承包人承担。</w:t>
      </w:r>
    </w:p>
    <w:p w14:paraId="744C16D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 发生须紧急抢修事件，承包人接到通知后，应立即到达现场抢修。</w:t>
      </w:r>
      <w:r>
        <w:rPr>
          <w:rFonts w:hint="eastAsia" w:ascii="宋体" w:hAnsi="宋体" w:cs="宋体"/>
          <w:highlight w:val="none"/>
        </w:rPr>
        <w:t>未按约定时间到场的，发包人有权委托第三方抢修，</w:t>
      </w:r>
      <w:r>
        <w:rPr>
          <w:rFonts w:hint="eastAsia" w:ascii="宋体" w:hAnsi="宋体" w:cs="宋体"/>
          <w:sz w:val="24"/>
          <w:highlight w:val="none"/>
        </w:rPr>
        <w:t>抢修费用双倍从质量保修金内扣除，费用不足部分由承包人承担。</w:t>
      </w:r>
    </w:p>
    <w:p w14:paraId="68BB8203">
      <w:pPr>
        <w:numPr>
          <w:ilvl w:val="0"/>
          <w:numId w:val="5"/>
        </w:num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在国家规定的工程合理使用期限内，承包人确保地基基础工程和主体结构的质量。因承包人原因致使工程在合理使用期限内造成人身和财产损害的，承包人应承担损害赔偿责任。</w:t>
      </w:r>
    </w:p>
    <w:p w14:paraId="23818123">
      <w:pPr>
        <w:numPr>
          <w:ilvl w:val="0"/>
          <w:numId w:val="5"/>
        </w:num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质量保修期自维修验收合格之日起重新计算。</w:t>
      </w:r>
    </w:p>
    <w:p w14:paraId="772B681E">
      <w:p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rPr>
        <w:t>四、质量保修金的支付</w:t>
      </w:r>
    </w:p>
    <w:p w14:paraId="62F49E13">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本工程约定的工程质量保修金为竣工结算价款的</w:t>
      </w:r>
      <w:r>
        <w:rPr>
          <w:rFonts w:hint="eastAsia" w:ascii="宋体" w:hAnsi="宋体" w:cs="宋体"/>
          <w:sz w:val="24"/>
          <w:highlight w:val="none"/>
          <w:u w:val="single"/>
        </w:rPr>
        <w:t>3%</w:t>
      </w:r>
      <w:r>
        <w:rPr>
          <w:rFonts w:hint="eastAsia" w:ascii="宋体" w:hAnsi="宋体" w:cs="宋体"/>
          <w:sz w:val="24"/>
          <w:highlight w:val="none"/>
        </w:rPr>
        <w:t>。质保金支付办法按照合同相关条款执行。</w:t>
      </w:r>
    </w:p>
    <w:p w14:paraId="406A5A9F">
      <w:p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rPr>
        <w:t>五、质量保修金的返还</w:t>
      </w:r>
    </w:p>
    <w:p w14:paraId="2EC1AE36">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工程缺陷责任期满后，三十天内返还结算总价3%的保修金（扣除相关责任款）。</w:t>
      </w:r>
    </w:p>
    <w:p w14:paraId="0F4B73B0">
      <w:pPr>
        <w:spacing w:line="360" w:lineRule="auto"/>
        <w:ind w:firstLine="482" w:firstLineChars="200"/>
        <w:rPr>
          <w:rFonts w:hint="eastAsia" w:ascii="宋体" w:hAnsi="宋体" w:cs="宋体"/>
          <w:b/>
          <w:bCs/>
          <w:sz w:val="24"/>
          <w:highlight w:val="none"/>
        </w:rPr>
      </w:pPr>
      <w:r>
        <w:rPr>
          <w:rFonts w:hint="eastAsia" w:ascii="宋体" w:hAnsi="宋体" w:cs="宋体"/>
          <w:b/>
          <w:bCs/>
          <w:sz w:val="24"/>
          <w:highlight w:val="none"/>
        </w:rPr>
        <w:t>六、其他</w:t>
      </w:r>
    </w:p>
    <w:p w14:paraId="1DCF1BCB">
      <w:pPr>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lang w:val="en-US" w:eastAsia="zh-CN"/>
        </w:rPr>
        <w:t>双</w:t>
      </w:r>
      <w:r>
        <w:rPr>
          <w:rFonts w:hint="eastAsia" w:ascii="宋体" w:hAnsi="宋体" w:cs="宋体"/>
          <w:sz w:val="24"/>
          <w:highlight w:val="none"/>
        </w:rPr>
        <w:t>方约定的其他工程质量保修事项：</w:t>
      </w:r>
    </w:p>
    <w:p w14:paraId="39716C60">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本工程质量保修作书为</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eastAsia="zh-CN"/>
        </w:rPr>
        <w:t>韦斗大道（纬二十路）（经四十路—造字台路）道路工程EPC工程总承包</w:t>
      </w:r>
      <w:r>
        <w:rPr>
          <w:rFonts w:hint="eastAsia" w:ascii="宋体" w:hAnsi="宋体" w:cs="宋体"/>
          <w:sz w:val="24"/>
          <w:szCs w:val="24"/>
          <w:highlight w:val="none"/>
          <w:u w:val="single"/>
        </w:rPr>
        <w:t xml:space="preserve"> </w:t>
      </w:r>
      <w:r>
        <w:rPr>
          <w:rFonts w:hint="eastAsia" w:ascii="宋体" w:hAnsi="宋体" w:cs="宋体"/>
          <w:sz w:val="24"/>
          <w:highlight w:val="none"/>
        </w:rPr>
        <w:t>合同的附件，由施工合同发包人、承包人</w:t>
      </w:r>
      <w:r>
        <w:rPr>
          <w:rFonts w:hint="eastAsia" w:ascii="宋体" w:hAnsi="宋体" w:cs="宋体"/>
          <w:sz w:val="24"/>
          <w:highlight w:val="none"/>
          <w:lang w:val="en-US" w:eastAsia="zh-CN"/>
        </w:rPr>
        <w:t>双方</w:t>
      </w:r>
      <w:r>
        <w:rPr>
          <w:rFonts w:hint="eastAsia" w:ascii="宋体" w:hAnsi="宋体" w:cs="宋体"/>
          <w:sz w:val="24"/>
          <w:highlight w:val="none"/>
        </w:rPr>
        <w:t>共同签订。</w:t>
      </w:r>
    </w:p>
    <w:tbl>
      <w:tblPr>
        <w:tblStyle w:val="14"/>
        <w:tblpPr w:leftFromText="180" w:rightFromText="180" w:vertAnchor="text" w:horzAnchor="page" w:tblpXSpec="center" w:tblpY="453"/>
        <w:tblOverlap w:val="never"/>
        <w:tblW w:w="9359" w:type="dxa"/>
        <w:jc w:val="center"/>
        <w:tblLayout w:type="fixed"/>
        <w:tblCellMar>
          <w:top w:w="0" w:type="dxa"/>
          <w:left w:w="108" w:type="dxa"/>
          <w:bottom w:w="0" w:type="dxa"/>
          <w:right w:w="108" w:type="dxa"/>
        </w:tblCellMar>
      </w:tblPr>
      <w:tblGrid>
        <w:gridCol w:w="4651"/>
        <w:gridCol w:w="4708"/>
      </w:tblGrid>
      <w:tr w14:paraId="3EAF5E6D">
        <w:tblPrEx>
          <w:tblCellMar>
            <w:top w:w="0" w:type="dxa"/>
            <w:left w:w="108" w:type="dxa"/>
            <w:bottom w:w="0" w:type="dxa"/>
            <w:right w:w="108" w:type="dxa"/>
          </w:tblCellMar>
        </w:tblPrEx>
        <w:trPr>
          <w:trHeight w:val="1307" w:hRule="atLeast"/>
          <w:jc w:val="center"/>
        </w:trPr>
        <w:tc>
          <w:tcPr>
            <w:tcW w:w="4651" w:type="dxa"/>
            <w:noWrap w:val="0"/>
            <w:vAlign w:val="center"/>
          </w:tcPr>
          <w:p w14:paraId="15CEC376">
            <w:pPr>
              <w:spacing w:line="440" w:lineRule="exact"/>
              <w:rPr>
                <w:rFonts w:hint="eastAsia" w:ascii="宋体" w:hAnsi="宋体" w:cs="宋体"/>
                <w:sz w:val="24"/>
                <w:szCs w:val="24"/>
                <w:highlight w:val="none"/>
              </w:rPr>
            </w:pPr>
            <w:r>
              <w:rPr>
                <w:rFonts w:hint="eastAsia" w:ascii="宋体" w:hAnsi="宋体" w:cs="宋体"/>
                <w:sz w:val="24"/>
                <w:szCs w:val="24"/>
                <w:highlight w:val="none"/>
              </w:rPr>
              <w:t>发  包  人：</w:t>
            </w:r>
            <w:r>
              <w:rPr>
                <w:rFonts w:hint="eastAsia" w:ascii="宋体" w:hAnsi="宋体" w:cs="宋体"/>
                <w:sz w:val="24"/>
                <w:szCs w:val="24"/>
                <w:highlight w:val="none"/>
                <w:u w:val="single"/>
              </w:rPr>
              <w:t>西安高新技术产业开发区公共项目建设管理中心（</w:t>
            </w:r>
            <w:r>
              <w:rPr>
                <w:rFonts w:hint="eastAsia" w:ascii="宋体" w:hAnsi="宋体" w:cs="宋体"/>
                <w:sz w:val="24"/>
                <w:szCs w:val="24"/>
                <w:highlight w:val="none"/>
              </w:rPr>
              <w:t>盖章）</w:t>
            </w:r>
          </w:p>
          <w:p w14:paraId="4E35EC3E">
            <w:pPr>
              <w:pStyle w:val="17"/>
              <w:framePr w:hSpace="0" w:wrap="auto" w:vAnchor="margin" w:hAnchor="text" w:yAlign="inline"/>
              <w:rPr>
                <w:rFonts w:hint="eastAsia" w:hAnsi="宋体" w:cs="宋体"/>
                <w:szCs w:val="24"/>
                <w:highlight w:val="none"/>
              </w:rPr>
            </w:pPr>
          </w:p>
        </w:tc>
        <w:tc>
          <w:tcPr>
            <w:tcW w:w="4708" w:type="dxa"/>
            <w:noWrap w:val="0"/>
            <w:vAlign w:val="center"/>
          </w:tcPr>
          <w:p w14:paraId="3C614B89">
            <w:pPr>
              <w:spacing w:line="440" w:lineRule="exact"/>
              <w:rPr>
                <w:rFonts w:hint="eastAsia" w:ascii="宋体" w:hAnsi="宋体" w:cs="宋体"/>
                <w:sz w:val="24"/>
                <w:szCs w:val="24"/>
                <w:highlight w:val="none"/>
              </w:rPr>
            </w:pPr>
            <w:r>
              <w:rPr>
                <w:rFonts w:hint="eastAsia" w:ascii="宋体" w:hAnsi="宋体" w:cs="宋体"/>
                <w:sz w:val="24"/>
                <w:szCs w:val="24"/>
                <w:highlight w:val="none"/>
              </w:rPr>
              <w:t>承  包  人：</w:t>
            </w:r>
            <w:r>
              <w:rPr>
                <w:rFonts w:hint="default" w:ascii="Times New Roman" w:hAnsi="Times New Roman" w:cs="Times New Roman"/>
                <w:color w:val="auto"/>
                <w:sz w:val="24"/>
                <w:szCs w:val="24"/>
                <w:highlight w:val="none"/>
                <w:u w:val="single"/>
              </w:rPr>
              <w:t>陕西建工集团股份有限公司</w:t>
            </w:r>
            <w:r>
              <w:rPr>
                <w:rFonts w:hint="eastAsia" w:ascii="宋体" w:hAnsi="宋体" w:cs="宋体"/>
                <w:sz w:val="24"/>
                <w:szCs w:val="24"/>
                <w:highlight w:val="none"/>
              </w:rPr>
              <w:t>（盖章）</w:t>
            </w:r>
          </w:p>
          <w:p w14:paraId="12477974">
            <w:pPr>
              <w:pStyle w:val="17"/>
              <w:framePr w:hSpace="0" w:wrap="auto" w:vAnchor="margin" w:hAnchor="text" w:yAlign="inline"/>
              <w:rPr>
                <w:rFonts w:hint="eastAsia" w:hAnsi="宋体" w:cs="宋体"/>
                <w:szCs w:val="24"/>
                <w:highlight w:val="none"/>
              </w:rPr>
            </w:pPr>
          </w:p>
        </w:tc>
      </w:tr>
      <w:tr w14:paraId="677AB5F6">
        <w:tblPrEx>
          <w:tblCellMar>
            <w:top w:w="0" w:type="dxa"/>
            <w:left w:w="108" w:type="dxa"/>
            <w:bottom w:w="0" w:type="dxa"/>
            <w:right w:w="108" w:type="dxa"/>
          </w:tblCellMar>
        </w:tblPrEx>
        <w:trPr>
          <w:trHeight w:val="1007" w:hRule="atLeast"/>
          <w:jc w:val="center"/>
        </w:trPr>
        <w:tc>
          <w:tcPr>
            <w:tcW w:w="4651" w:type="dxa"/>
            <w:noWrap w:val="0"/>
            <w:vAlign w:val="center"/>
          </w:tcPr>
          <w:p w14:paraId="7C491B77">
            <w:pPr>
              <w:pStyle w:val="17"/>
              <w:framePr w:hSpace="0" w:wrap="auto" w:vAnchor="margin" w:hAnchor="text" w:yAlign="inline"/>
              <w:rPr>
                <w:rFonts w:hint="eastAsia" w:hAnsi="宋体" w:cs="宋体"/>
                <w:szCs w:val="24"/>
                <w:highlight w:val="none"/>
              </w:rPr>
            </w:pPr>
            <w:r>
              <w:rPr>
                <w:rFonts w:hint="eastAsia" w:hAnsi="宋体" w:cs="宋体"/>
                <w:szCs w:val="24"/>
                <w:highlight w:val="none"/>
              </w:rPr>
              <w:t>法定代表人</w:t>
            </w:r>
          </w:p>
          <w:p w14:paraId="6D23F8EF">
            <w:pPr>
              <w:pStyle w:val="17"/>
              <w:framePr w:hSpace="0" w:wrap="auto" w:vAnchor="margin" w:hAnchor="text" w:yAlign="inline"/>
              <w:rPr>
                <w:rFonts w:hint="eastAsia" w:hAnsi="宋体" w:cs="宋体"/>
                <w:szCs w:val="24"/>
                <w:highlight w:val="none"/>
              </w:rPr>
            </w:pPr>
            <w:r>
              <w:rPr>
                <w:rFonts w:hint="eastAsia" w:hAnsi="宋体" w:cs="宋体"/>
                <w:szCs w:val="24"/>
                <w:highlight w:val="none"/>
              </w:rPr>
              <w:t>或委托代理人：     （签字或盖章）</w:t>
            </w:r>
          </w:p>
          <w:p w14:paraId="06818C5C">
            <w:pPr>
              <w:pStyle w:val="17"/>
              <w:framePr w:hSpace="0" w:wrap="auto" w:vAnchor="margin" w:hAnchor="text" w:yAlign="inline"/>
              <w:rPr>
                <w:rFonts w:hint="eastAsia" w:hAnsi="宋体" w:cs="宋体"/>
                <w:szCs w:val="24"/>
                <w:highlight w:val="none"/>
              </w:rPr>
            </w:pPr>
          </w:p>
        </w:tc>
        <w:tc>
          <w:tcPr>
            <w:tcW w:w="4708" w:type="dxa"/>
            <w:noWrap w:val="0"/>
            <w:vAlign w:val="center"/>
          </w:tcPr>
          <w:p w14:paraId="187F3E5F">
            <w:pPr>
              <w:pStyle w:val="17"/>
              <w:framePr w:hSpace="0" w:wrap="auto" w:vAnchor="margin" w:hAnchor="text" w:yAlign="inline"/>
              <w:rPr>
                <w:rFonts w:hint="eastAsia" w:hAnsi="宋体" w:cs="宋体"/>
                <w:szCs w:val="24"/>
                <w:highlight w:val="none"/>
              </w:rPr>
            </w:pPr>
            <w:r>
              <w:rPr>
                <w:rFonts w:hint="eastAsia" w:hAnsi="宋体" w:cs="宋体"/>
                <w:szCs w:val="24"/>
                <w:highlight w:val="none"/>
              </w:rPr>
              <w:t>法定代表人</w:t>
            </w:r>
          </w:p>
          <w:p w14:paraId="201C91B1">
            <w:pPr>
              <w:pStyle w:val="17"/>
              <w:framePr w:hSpace="0" w:wrap="auto" w:vAnchor="margin" w:hAnchor="text" w:yAlign="inline"/>
              <w:rPr>
                <w:rFonts w:hint="eastAsia" w:hAnsi="宋体" w:cs="宋体"/>
                <w:szCs w:val="24"/>
                <w:highlight w:val="none"/>
              </w:rPr>
            </w:pPr>
            <w:r>
              <w:rPr>
                <w:rFonts w:hint="eastAsia" w:hAnsi="宋体" w:cs="宋体"/>
                <w:szCs w:val="24"/>
                <w:highlight w:val="none"/>
              </w:rPr>
              <w:t>或委托代理人：     （签字或盖章）</w:t>
            </w:r>
          </w:p>
          <w:p w14:paraId="22EF3EC1">
            <w:pPr>
              <w:pStyle w:val="17"/>
              <w:framePr w:hSpace="0" w:wrap="auto" w:vAnchor="margin" w:hAnchor="text" w:yAlign="inline"/>
              <w:rPr>
                <w:rFonts w:hint="eastAsia" w:hAnsi="宋体" w:cs="宋体"/>
                <w:szCs w:val="24"/>
                <w:highlight w:val="none"/>
              </w:rPr>
            </w:pPr>
          </w:p>
        </w:tc>
      </w:tr>
      <w:tr w14:paraId="3E88E5F0">
        <w:tblPrEx>
          <w:tblCellMar>
            <w:top w:w="0" w:type="dxa"/>
            <w:left w:w="108" w:type="dxa"/>
            <w:bottom w:w="0" w:type="dxa"/>
            <w:right w:w="108" w:type="dxa"/>
          </w:tblCellMar>
        </w:tblPrEx>
        <w:trPr>
          <w:trHeight w:val="963" w:hRule="atLeast"/>
          <w:jc w:val="center"/>
        </w:trPr>
        <w:tc>
          <w:tcPr>
            <w:tcW w:w="4651" w:type="dxa"/>
            <w:noWrap w:val="0"/>
            <w:vAlign w:val="center"/>
          </w:tcPr>
          <w:p w14:paraId="43390509">
            <w:pPr>
              <w:pStyle w:val="17"/>
              <w:framePr w:hSpace="0" w:wrap="auto" w:vAnchor="margin" w:hAnchor="text" w:yAlign="inline"/>
              <w:rPr>
                <w:rFonts w:hint="eastAsia" w:hAnsi="宋体" w:cs="宋体"/>
                <w:szCs w:val="24"/>
                <w:highlight w:val="none"/>
              </w:rPr>
            </w:pPr>
            <w:r>
              <w:rPr>
                <w:rFonts w:hint="eastAsia" w:hAnsi="宋体" w:cs="宋体"/>
                <w:szCs w:val="24"/>
                <w:highlight w:val="none"/>
              </w:rPr>
              <w:t>____年_____月____日</w:t>
            </w:r>
          </w:p>
        </w:tc>
        <w:tc>
          <w:tcPr>
            <w:tcW w:w="4708" w:type="dxa"/>
            <w:noWrap w:val="0"/>
            <w:vAlign w:val="center"/>
          </w:tcPr>
          <w:p w14:paraId="2BB2F8AB">
            <w:pPr>
              <w:pStyle w:val="17"/>
              <w:framePr w:hSpace="0" w:wrap="auto" w:vAnchor="margin" w:hAnchor="text" w:yAlign="inline"/>
              <w:rPr>
                <w:rFonts w:hint="eastAsia" w:hAnsi="宋体" w:cs="宋体"/>
                <w:szCs w:val="24"/>
                <w:highlight w:val="none"/>
              </w:rPr>
            </w:pPr>
            <w:r>
              <w:rPr>
                <w:rFonts w:hint="eastAsia" w:hAnsi="宋体" w:cs="宋体"/>
                <w:szCs w:val="24"/>
                <w:highlight w:val="none"/>
              </w:rPr>
              <w:t>____年_____月____日</w:t>
            </w:r>
          </w:p>
        </w:tc>
      </w:tr>
    </w:tbl>
    <w:p w14:paraId="1722597A">
      <w:pPr>
        <w:spacing w:line="360" w:lineRule="auto"/>
        <w:rPr>
          <w:rFonts w:hint="eastAsia" w:ascii="宋体" w:hAnsi="宋体" w:cs="宋体"/>
          <w:sz w:val="24"/>
          <w:szCs w:val="27"/>
          <w:highlight w:val="none"/>
        </w:rPr>
      </w:pPr>
      <w:r>
        <w:rPr>
          <w:rFonts w:hint="eastAsia" w:ascii="宋体" w:hAnsi="宋体" w:cs="宋体"/>
          <w:sz w:val="24"/>
          <w:highlight w:val="none"/>
        </w:rPr>
        <w:br w:type="page"/>
      </w:r>
      <w:r>
        <w:rPr>
          <w:rFonts w:hint="eastAsia" w:ascii="宋体" w:hAnsi="宋体" w:cs="宋体"/>
          <w:sz w:val="24"/>
          <w:szCs w:val="27"/>
          <w:highlight w:val="none"/>
        </w:rPr>
        <w:t>附件二：</w:t>
      </w:r>
    </w:p>
    <w:p w14:paraId="11C83EB8">
      <w:pPr>
        <w:spacing w:before="156" w:beforeLines="50" w:line="20" w:lineRule="atLeast"/>
        <w:jc w:val="center"/>
        <w:rPr>
          <w:rFonts w:hint="eastAsia" w:ascii="宋体" w:hAnsi="宋体" w:cs="宋体"/>
          <w:sz w:val="24"/>
          <w:szCs w:val="27"/>
          <w:highlight w:val="none"/>
        </w:rPr>
      </w:pPr>
      <w:r>
        <w:rPr>
          <w:rFonts w:hint="eastAsia" w:ascii="宋体" w:hAnsi="宋体" w:cs="宋体"/>
          <w:b/>
          <w:bCs/>
          <w:sz w:val="36"/>
          <w:szCs w:val="32"/>
          <w:highlight w:val="none"/>
        </w:rPr>
        <w:t>建筑工程安全文明施工措施项目清单</w:t>
      </w:r>
    </w:p>
    <w:p w14:paraId="2721A209">
      <w:pPr>
        <w:spacing w:before="156" w:beforeLines="50" w:line="100" w:lineRule="atLeast"/>
        <w:jc w:val="left"/>
        <w:rPr>
          <w:rFonts w:hint="eastAsia" w:ascii="宋体" w:hAnsi="宋体" w:cs="宋体"/>
          <w:sz w:val="24"/>
          <w:szCs w:val="27"/>
          <w:highlight w:val="none"/>
        </w:rPr>
      </w:pPr>
    </w:p>
    <w:tbl>
      <w:tblPr>
        <w:tblStyle w:val="14"/>
        <w:tblpPr w:leftFromText="180" w:rightFromText="180" w:vertAnchor="text" w:horzAnchor="page" w:tblpXSpec="center" w:tblpY="78"/>
        <w:tblOverlap w:val="never"/>
        <w:tblW w:w="8010" w:type="dxa"/>
        <w:jc w:val="center"/>
        <w:tblLayout w:type="fixed"/>
        <w:tblCellMar>
          <w:top w:w="15" w:type="dxa"/>
          <w:left w:w="15" w:type="dxa"/>
          <w:bottom w:w="15" w:type="dxa"/>
          <w:right w:w="15" w:type="dxa"/>
        </w:tblCellMar>
      </w:tblPr>
      <w:tblGrid>
        <w:gridCol w:w="1164"/>
        <w:gridCol w:w="1711"/>
        <w:gridCol w:w="5135"/>
      </w:tblGrid>
      <w:tr w14:paraId="355D0817">
        <w:tblPrEx>
          <w:tblCellMar>
            <w:top w:w="15" w:type="dxa"/>
            <w:left w:w="15" w:type="dxa"/>
            <w:bottom w:w="15" w:type="dxa"/>
            <w:right w:w="15" w:type="dxa"/>
          </w:tblCellMar>
        </w:tblPrEx>
        <w:trPr>
          <w:trHeight w:val="246" w:hRule="atLeast"/>
          <w:jc w:val="center"/>
        </w:trPr>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4AD2E51">
            <w:pPr>
              <w:widowControl/>
              <w:spacing w:line="20" w:lineRule="atLeast"/>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类别</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4CAABCBD">
            <w:pPr>
              <w:widowControl/>
              <w:spacing w:line="20" w:lineRule="atLeast"/>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项目</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674680D">
            <w:pPr>
              <w:widowControl/>
              <w:spacing w:line="20" w:lineRule="atLeast"/>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具体项目</w:t>
            </w:r>
          </w:p>
        </w:tc>
      </w:tr>
      <w:tr w14:paraId="2574DCDF">
        <w:tblPrEx>
          <w:tblCellMar>
            <w:top w:w="15" w:type="dxa"/>
            <w:left w:w="15" w:type="dxa"/>
            <w:bottom w:w="15" w:type="dxa"/>
            <w:right w:w="15" w:type="dxa"/>
          </w:tblCellMar>
        </w:tblPrEx>
        <w:trPr>
          <w:trHeight w:val="131" w:hRule="atLeast"/>
          <w:jc w:val="center"/>
        </w:trPr>
        <w:tc>
          <w:tcPr>
            <w:tcW w:w="11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B0AAF12">
            <w:pPr>
              <w:widowControl/>
              <w:spacing w:line="20" w:lineRule="atLeast"/>
              <w:jc w:val="center"/>
              <w:textAlignment w:val="center"/>
              <w:rPr>
                <w:rFonts w:hint="eastAsia" w:ascii="宋体" w:hAnsi="宋体" w:cs="宋体"/>
                <w:kern w:val="0"/>
                <w:sz w:val="22"/>
                <w:szCs w:val="21"/>
                <w:highlight w:val="none"/>
              </w:rPr>
            </w:pPr>
            <w:r>
              <w:rPr>
                <w:rFonts w:hint="eastAsia" w:ascii="宋体" w:hAnsi="宋体" w:cs="宋体"/>
                <w:kern w:val="0"/>
                <w:sz w:val="22"/>
                <w:szCs w:val="21"/>
                <w:highlight w:val="none"/>
              </w:rPr>
              <w:t>扬尘污染</w:t>
            </w:r>
          </w:p>
          <w:p w14:paraId="0E8C61D3">
            <w:pPr>
              <w:pStyle w:val="9"/>
              <w:spacing w:line="20" w:lineRule="atLeast"/>
              <w:rPr>
                <w:rFonts w:hint="eastAsia"/>
                <w:sz w:val="22"/>
                <w:szCs w:val="18"/>
                <w:highlight w:val="none"/>
              </w:rPr>
            </w:pPr>
          </w:p>
          <w:p w14:paraId="25DA9024">
            <w:pPr>
              <w:widowControl/>
              <w:spacing w:line="20" w:lineRule="atLeast"/>
              <w:jc w:val="center"/>
              <w:textAlignment w:val="center"/>
              <w:rPr>
                <w:rFonts w:hint="eastAsia" w:ascii="宋体" w:hAnsi="宋体" w:cs="宋体"/>
                <w:kern w:val="0"/>
                <w:sz w:val="22"/>
                <w:szCs w:val="21"/>
                <w:highlight w:val="none"/>
              </w:rPr>
            </w:pPr>
          </w:p>
          <w:p w14:paraId="0D6820DF">
            <w:pPr>
              <w:widowControl/>
              <w:spacing w:line="20" w:lineRule="atLeast"/>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治理费</w:t>
            </w: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1A57913F">
            <w:pPr>
              <w:widowControl/>
              <w:spacing w:line="20" w:lineRule="atLeast"/>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扬尘治理</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1B0EADB3">
            <w:pPr>
              <w:widowControl/>
              <w:spacing w:line="20" w:lineRule="atLeast"/>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环境综合监测仪</w:t>
            </w:r>
          </w:p>
        </w:tc>
      </w:tr>
      <w:tr w14:paraId="12D6E849">
        <w:tblPrEx>
          <w:tblCellMar>
            <w:top w:w="15" w:type="dxa"/>
            <w:left w:w="15" w:type="dxa"/>
            <w:bottom w:w="15" w:type="dxa"/>
            <w:right w:w="15" w:type="dxa"/>
          </w:tblCellMar>
        </w:tblPrEx>
        <w:trPr>
          <w:trHeight w:val="246"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8DEEC7">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534B01">
            <w:pPr>
              <w:jc w:val="center"/>
              <w:rPr>
                <w:rFonts w:hint="eastAsia" w:ascii="宋体" w:hAnsi="宋体" w:cs="宋体"/>
                <w:sz w:val="22"/>
                <w:szCs w:val="21"/>
                <w:highlight w:val="none"/>
              </w:rPr>
            </w:pPr>
          </w:p>
        </w:tc>
        <w:tc>
          <w:tcPr>
            <w:tcW w:w="5135" w:type="dxa"/>
            <w:tcBorders>
              <w:right w:val="single" w:color="auto" w:sz="4" w:space="0"/>
            </w:tcBorders>
            <w:noWrap w:val="0"/>
            <w:vAlign w:val="center"/>
          </w:tcPr>
          <w:p w14:paraId="79CC777D">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应急响应公示牌、建筑工地出土监督牌、扬尘治理包抓公示牌等</w:t>
            </w:r>
          </w:p>
        </w:tc>
      </w:tr>
      <w:tr w14:paraId="155D0C1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7DE015">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F7B68F">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EEBBE6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主要道路硬化</w:t>
            </w:r>
          </w:p>
        </w:tc>
      </w:tr>
      <w:tr w14:paraId="3BAE8E42">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CC88D2">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D23FB4">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C85E25E">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洒水抑尘、地面冲洗</w:t>
            </w:r>
          </w:p>
        </w:tc>
      </w:tr>
      <w:tr w14:paraId="5CF81874">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A70D1B">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F8994A">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E3A240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裸露土方覆盖、固化或绿化</w:t>
            </w:r>
          </w:p>
        </w:tc>
      </w:tr>
      <w:tr w14:paraId="4BA918DB">
        <w:tblPrEx>
          <w:tblCellMar>
            <w:top w:w="15" w:type="dxa"/>
            <w:left w:w="15" w:type="dxa"/>
            <w:bottom w:w="15" w:type="dxa"/>
            <w:right w:w="15" w:type="dxa"/>
          </w:tblCellMar>
        </w:tblPrEx>
        <w:trPr>
          <w:trHeight w:val="246"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9D21BE">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710294">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2235127">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施工现场出口处设置车辆冲洗设施，对驶出的车辆进行清洗</w:t>
            </w:r>
          </w:p>
        </w:tc>
      </w:tr>
      <w:tr w14:paraId="7FDEBC78">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CD1D67">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2F0D57">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0C458E7">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1036CE76">
        <w:tblPrEx>
          <w:tblCellMar>
            <w:top w:w="15" w:type="dxa"/>
            <w:left w:w="15" w:type="dxa"/>
            <w:bottom w:w="15" w:type="dxa"/>
            <w:right w:w="15" w:type="dxa"/>
          </w:tblCellMar>
        </w:tblPrEx>
        <w:trPr>
          <w:trHeight w:val="131" w:hRule="atLeast"/>
          <w:jc w:val="center"/>
        </w:trPr>
        <w:tc>
          <w:tcPr>
            <w:tcW w:w="1164" w:type="dxa"/>
            <w:vMerge w:val="restart"/>
            <w:tcBorders>
              <w:top w:val="single" w:color="000000" w:sz="4" w:space="0"/>
              <w:left w:val="single" w:color="000000" w:sz="4" w:space="0"/>
              <w:right w:val="single" w:color="000000" w:sz="4" w:space="0"/>
            </w:tcBorders>
            <w:noWrap w:val="0"/>
            <w:vAlign w:val="center"/>
          </w:tcPr>
          <w:p w14:paraId="60A80C87">
            <w:pPr>
              <w:widowControl/>
              <w:jc w:val="center"/>
              <w:textAlignment w:val="center"/>
              <w:rPr>
                <w:rFonts w:hint="eastAsia" w:ascii="宋体" w:hAnsi="宋体" w:cs="宋体"/>
                <w:kern w:val="0"/>
                <w:sz w:val="22"/>
                <w:szCs w:val="21"/>
                <w:highlight w:val="none"/>
              </w:rPr>
            </w:pPr>
            <w:r>
              <w:rPr>
                <w:rFonts w:hint="eastAsia" w:ascii="宋体" w:hAnsi="宋体" w:cs="宋体"/>
                <w:kern w:val="0"/>
                <w:sz w:val="22"/>
                <w:szCs w:val="21"/>
                <w:highlight w:val="none"/>
              </w:rPr>
              <w:t>环境保护费</w:t>
            </w:r>
          </w:p>
          <w:p w14:paraId="797D45D3">
            <w:pPr>
              <w:pStyle w:val="9"/>
              <w:rPr>
                <w:rFonts w:hint="eastAsia"/>
                <w:sz w:val="22"/>
                <w:szCs w:val="18"/>
                <w:highlight w:val="none"/>
              </w:rPr>
            </w:pPr>
          </w:p>
          <w:p w14:paraId="18E4F122">
            <w:pPr>
              <w:widowControl/>
              <w:jc w:val="center"/>
              <w:textAlignment w:val="center"/>
              <w:rPr>
                <w:rFonts w:hint="eastAsia" w:ascii="宋体" w:hAnsi="宋体" w:cs="宋体"/>
                <w:kern w:val="0"/>
                <w:sz w:val="22"/>
                <w:szCs w:val="21"/>
                <w:highlight w:val="none"/>
              </w:rPr>
            </w:pPr>
          </w:p>
          <w:p w14:paraId="7581F93E">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（含排污）</w:t>
            </w: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76265258">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环境保护</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AEA7297">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垃圾分类</w:t>
            </w:r>
          </w:p>
        </w:tc>
      </w:tr>
      <w:tr w14:paraId="7CF4FACC">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6F348920">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0F06C5">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F93601B">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生活、建筑垃圾清理</w:t>
            </w:r>
          </w:p>
        </w:tc>
      </w:tr>
      <w:tr w14:paraId="21919989">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6FAD082C">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33FBD3">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243D452">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污水排放</w:t>
            </w:r>
          </w:p>
        </w:tc>
      </w:tr>
      <w:tr w14:paraId="3F2ABD5E">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4E423C6">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00AEB5">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BB3CE45">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噪音治理</w:t>
            </w:r>
          </w:p>
        </w:tc>
      </w:tr>
      <w:tr w14:paraId="38B8E59D">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6F03EBD5">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329899">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22FB18D">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76B34D05">
        <w:tblPrEx>
          <w:tblCellMar>
            <w:top w:w="15" w:type="dxa"/>
            <w:left w:w="15" w:type="dxa"/>
            <w:bottom w:w="15" w:type="dxa"/>
            <w:right w:w="15" w:type="dxa"/>
          </w:tblCellMar>
        </w:tblPrEx>
        <w:trPr>
          <w:trHeight w:val="131" w:hRule="atLeast"/>
          <w:jc w:val="center"/>
        </w:trPr>
        <w:tc>
          <w:tcPr>
            <w:tcW w:w="1164" w:type="dxa"/>
            <w:vMerge w:val="restart"/>
            <w:tcBorders>
              <w:top w:val="single" w:color="000000" w:sz="4" w:space="0"/>
              <w:left w:val="single" w:color="000000" w:sz="4" w:space="0"/>
              <w:right w:val="single" w:color="000000" w:sz="4" w:space="0"/>
            </w:tcBorders>
            <w:noWrap w:val="0"/>
            <w:vAlign w:val="center"/>
          </w:tcPr>
          <w:p w14:paraId="13F2DD9C">
            <w:pPr>
              <w:widowControl/>
              <w:jc w:val="center"/>
              <w:textAlignment w:val="center"/>
              <w:rPr>
                <w:rFonts w:hint="eastAsia" w:ascii="宋体" w:hAnsi="宋体" w:cs="宋体"/>
                <w:kern w:val="0"/>
                <w:sz w:val="22"/>
                <w:szCs w:val="21"/>
                <w:highlight w:val="none"/>
              </w:rPr>
            </w:pPr>
            <w:r>
              <w:rPr>
                <w:rFonts w:hint="eastAsia" w:ascii="宋体" w:hAnsi="宋体" w:cs="宋体"/>
                <w:kern w:val="0"/>
                <w:sz w:val="22"/>
                <w:szCs w:val="21"/>
                <w:highlight w:val="none"/>
              </w:rPr>
              <w:t>安全文明</w:t>
            </w:r>
          </w:p>
          <w:p w14:paraId="228D8749">
            <w:pPr>
              <w:pStyle w:val="9"/>
              <w:rPr>
                <w:rFonts w:hint="eastAsia"/>
                <w:sz w:val="22"/>
                <w:szCs w:val="18"/>
                <w:highlight w:val="none"/>
              </w:rPr>
            </w:pPr>
          </w:p>
          <w:p w14:paraId="3FD3BFDD">
            <w:pPr>
              <w:widowControl/>
              <w:jc w:val="center"/>
              <w:textAlignment w:val="center"/>
              <w:rPr>
                <w:rFonts w:hint="eastAsia" w:ascii="宋体" w:hAnsi="宋体" w:cs="宋体"/>
                <w:kern w:val="0"/>
                <w:sz w:val="22"/>
                <w:szCs w:val="21"/>
                <w:highlight w:val="none"/>
              </w:rPr>
            </w:pPr>
          </w:p>
          <w:p w14:paraId="6CB0A4B6">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施工</w:t>
            </w: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2A056F9D">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劳保用品</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2A38A73">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安全帽</w:t>
            </w:r>
          </w:p>
        </w:tc>
      </w:tr>
      <w:tr w14:paraId="301C8978">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657951E">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BE158F">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72B9DF9">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安全带</w:t>
            </w:r>
          </w:p>
        </w:tc>
      </w:tr>
      <w:tr w14:paraId="756B2C32">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0F2959B">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1F533B">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76B1CC4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反光背心</w:t>
            </w:r>
          </w:p>
        </w:tc>
      </w:tr>
      <w:tr w14:paraId="0EB15E97">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5F8C72D">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4E6075">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6B3AA83">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雨衣、雨靴</w:t>
            </w:r>
          </w:p>
        </w:tc>
      </w:tr>
      <w:tr w14:paraId="1D482EB6">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5784ED23">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545A16">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56CDB32">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绝缘垫、绝缘鞋、绝缘手套</w:t>
            </w:r>
          </w:p>
        </w:tc>
      </w:tr>
      <w:tr w14:paraId="0DC1094F">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0074F8A">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3C831">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EBD3D4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护目镜</w:t>
            </w:r>
          </w:p>
        </w:tc>
      </w:tr>
      <w:tr w14:paraId="2D9BC9A3">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66008B6">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38B363">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C4E717D">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53EA6787">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7B0D66AE">
            <w:pPr>
              <w:jc w:val="center"/>
              <w:rPr>
                <w:rFonts w:hint="eastAsia" w:ascii="宋体" w:hAnsi="宋体" w:cs="宋体"/>
                <w:sz w:val="22"/>
                <w:szCs w:val="21"/>
                <w:highlight w:val="none"/>
              </w:rPr>
            </w:pP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42B3D595">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安全防护</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2275B8E">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密目安全网</w:t>
            </w:r>
          </w:p>
        </w:tc>
      </w:tr>
      <w:tr w14:paraId="34513014">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5C7791A1">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48DF40">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DD0F085">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防坠安全网</w:t>
            </w:r>
          </w:p>
        </w:tc>
      </w:tr>
      <w:tr w14:paraId="666F849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BD7E951">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6EB3E">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71804326">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临边防护</w:t>
            </w:r>
          </w:p>
        </w:tc>
      </w:tr>
      <w:tr w14:paraId="2DEA22D7">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77B1E589">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67D59">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15BCFB19">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洞口防护</w:t>
            </w:r>
          </w:p>
        </w:tc>
      </w:tr>
      <w:tr w14:paraId="02B3E68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D55BCF1">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544B81">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134768D">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现场安全通道</w:t>
            </w:r>
          </w:p>
        </w:tc>
      </w:tr>
      <w:tr w14:paraId="3DBC3006">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02EF47D">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2C942">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EABC15A">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高处作业安全防护</w:t>
            </w:r>
          </w:p>
        </w:tc>
      </w:tr>
      <w:tr w14:paraId="764A164D">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3E4EFB5C">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3698A">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1410819">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交叉作业安全防护</w:t>
            </w:r>
          </w:p>
        </w:tc>
      </w:tr>
      <w:tr w14:paraId="51F6AEC9">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38986CB8">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D2A8C8">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797FC3CA">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夜间施工（照明）</w:t>
            </w:r>
          </w:p>
        </w:tc>
      </w:tr>
      <w:tr w14:paraId="3ADB1F70">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15C50C1">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01DCA6">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441C71A">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安全警示标识</w:t>
            </w:r>
          </w:p>
        </w:tc>
      </w:tr>
      <w:tr w14:paraId="0E50561F">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22025FB">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1FDA79">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130FB555">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1924986A">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4B2D13E">
            <w:pPr>
              <w:jc w:val="center"/>
              <w:rPr>
                <w:rFonts w:hint="eastAsia" w:ascii="宋体" w:hAnsi="宋体" w:cs="宋体"/>
                <w:sz w:val="22"/>
                <w:szCs w:val="21"/>
                <w:highlight w:val="none"/>
              </w:rPr>
            </w:pPr>
          </w:p>
        </w:tc>
        <w:tc>
          <w:tcPr>
            <w:tcW w:w="1711" w:type="dxa"/>
            <w:vMerge w:val="restart"/>
            <w:tcBorders>
              <w:left w:val="single" w:color="000000" w:sz="4" w:space="0"/>
              <w:right w:val="single" w:color="000000" w:sz="4" w:space="0"/>
            </w:tcBorders>
            <w:noWrap w:val="0"/>
            <w:vAlign w:val="center"/>
          </w:tcPr>
          <w:p w14:paraId="0A41C909">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机械设备</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4A99E4C">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机械设备安全防护</w:t>
            </w:r>
          </w:p>
        </w:tc>
      </w:tr>
      <w:tr w14:paraId="495C1AF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1C66282">
            <w:pPr>
              <w:jc w:val="center"/>
              <w:rPr>
                <w:rFonts w:hint="eastAsia" w:ascii="宋体" w:hAnsi="宋体" w:cs="宋体"/>
                <w:sz w:val="22"/>
                <w:szCs w:val="21"/>
                <w:highlight w:val="none"/>
              </w:rPr>
            </w:pPr>
          </w:p>
        </w:tc>
        <w:tc>
          <w:tcPr>
            <w:tcW w:w="1711" w:type="dxa"/>
            <w:vMerge w:val="continue"/>
            <w:tcBorders>
              <w:left w:val="single" w:color="000000" w:sz="4" w:space="0"/>
              <w:right w:val="single" w:color="000000" w:sz="4" w:space="0"/>
            </w:tcBorders>
            <w:noWrap w:val="0"/>
            <w:vAlign w:val="center"/>
          </w:tcPr>
          <w:p w14:paraId="54C94597">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E29562F">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设备检测</w:t>
            </w:r>
          </w:p>
        </w:tc>
      </w:tr>
      <w:tr w14:paraId="50BA1D1B">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3A7F83B">
            <w:pPr>
              <w:jc w:val="center"/>
              <w:rPr>
                <w:rFonts w:hint="eastAsia" w:ascii="宋体" w:hAnsi="宋体" w:cs="宋体"/>
                <w:sz w:val="22"/>
                <w:szCs w:val="21"/>
                <w:highlight w:val="none"/>
              </w:rPr>
            </w:pPr>
          </w:p>
        </w:tc>
        <w:tc>
          <w:tcPr>
            <w:tcW w:w="1711" w:type="dxa"/>
            <w:vMerge w:val="continue"/>
            <w:tcBorders>
              <w:left w:val="single" w:color="000000" w:sz="4" w:space="0"/>
              <w:right w:val="single" w:color="000000" w:sz="4" w:space="0"/>
            </w:tcBorders>
            <w:noWrap w:val="0"/>
            <w:vAlign w:val="center"/>
          </w:tcPr>
          <w:p w14:paraId="5792107A">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6846EE6">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2270A483">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25402EA">
            <w:pPr>
              <w:jc w:val="center"/>
              <w:rPr>
                <w:rFonts w:hint="eastAsia" w:ascii="宋体" w:hAnsi="宋体" w:cs="宋体"/>
                <w:sz w:val="22"/>
                <w:szCs w:val="21"/>
                <w:highlight w:val="none"/>
              </w:rPr>
            </w:pP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596D2BE1">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临时用电</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629DDC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配电箱、开关箱</w:t>
            </w:r>
          </w:p>
        </w:tc>
      </w:tr>
      <w:tr w14:paraId="629A3FB4">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6FBADCBB">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BC2672">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1C4315D1">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配电线缆</w:t>
            </w:r>
          </w:p>
        </w:tc>
      </w:tr>
      <w:tr w14:paraId="0EF44065">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A6EBCEE">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C5A30">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1331B4EB">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配电箱防护棚</w:t>
            </w:r>
          </w:p>
        </w:tc>
      </w:tr>
      <w:tr w14:paraId="4A03B8B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6CA20EF">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A7FE86">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35945F4">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防雷接地、重复接地</w:t>
            </w:r>
          </w:p>
        </w:tc>
      </w:tr>
      <w:tr w14:paraId="480482A9">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3A1C9725">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B11000">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9A73A8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外电线路安全防护（隔离防护措施）</w:t>
            </w:r>
          </w:p>
        </w:tc>
      </w:tr>
      <w:tr w14:paraId="3FA2D346">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ADC7D5F">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69962">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E4E3277">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3733B626">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645880B">
            <w:pPr>
              <w:jc w:val="center"/>
              <w:rPr>
                <w:rFonts w:hint="eastAsia" w:ascii="宋体" w:hAnsi="宋体" w:cs="宋体"/>
                <w:sz w:val="22"/>
                <w:szCs w:val="21"/>
                <w:highlight w:val="none"/>
              </w:rPr>
            </w:pP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0B4F720C">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基坑</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D6E7DD1">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基坑支护</w:t>
            </w:r>
          </w:p>
        </w:tc>
      </w:tr>
      <w:tr w14:paraId="6227D33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77C7D62">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A59250">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8D76AB6">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基坑监测、支护变形监测</w:t>
            </w:r>
          </w:p>
        </w:tc>
      </w:tr>
      <w:tr w14:paraId="32EAA087">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668F79A7">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4F5EFF">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A641AEB">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原装管线保护</w:t>
            </w:r>
          </w:p>
        </w:tc>
      </w:tr>
      <w:tr w14:paraId="626579B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0334288">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BA55DB">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CDA2554">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人员上下爬梯</w:t>
            </w:r>
          </w:p>
        </w:tc>
      </w:tr>
      <w:tr w14:paraId="24EA4A42">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3B255E10">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1E875">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DBB4D0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建筑物、构筑物沉降监测</w:t>
            </w:r>
          </w:p>
        </w:tc>
      </w:tr>
      <w:tr w14:paraId="5B43CE8F">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581841A4">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9987A3">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4955ED2">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3894DEE3">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7C5AE9F8">
            <w:pPr>
              <w:jc w:val="center"/>
              <w:rPr>
                <w:rFonts w:hint="eastAsia" w:ascii="宋体" w:hAnsi="宋体" w:cs="宋体"/>
                <w:sz w:val="22"/>
                <w:szCs w:val="21"/>
                <w:highlight w:val="none"/>
              </w:rPr>
            </w:pP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41716F1E">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气瓶</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0AA43C4">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气瓶定期检验</w:t>
            </w:r>
          </w:p>
        </w:tc>
      </w:tr>
      <w:tr w14:paraId="01EC4326">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3CC7CA4">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0F3D29">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33CF7A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防倾倒装置</w:t>
            </w:r>
          </w:p>
        </w:tc>
      </w:tr>
      <w:tr w14:paraId="0EFE64A0">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55283BA">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66767A">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A000144">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回火防止装置</w:t>
            </w:r>
          </w:p>
        </w:tc>
      </w:tr>
      <w:tr w14:paraId="40A0274A">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3592C49D">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B80A71">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3809A5D">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减压器</w:t>
            </w:r>
          </w:p>
        </w:tc>
      </w:tr>
      <w:tr w14:paraId="274EAEF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1BF1856">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99D636">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424256B">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气瓶贮存</w:t>
            </w:r>
          </w:p>
        </w:tc>
      </w:tr>
      <w:tr w14:paraId="33C4898E">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32D4E8A">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4238AE">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F507547">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0468335D">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5968ED2A">
            <w:pPr>
              <w:jc w:val="center"/>
              <w:rPr>
                <w:rFonts w:hint="eastAsia" w:ascii="宋体" w:hAnsi="宋体" w:cs="宋体"/>
                <w:sz w:val="22"/>
                <w:szCs w:val="21"/>
                <w:highlight w:val="none"/>
              </w:rPr>
            </w:pP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190DA3A6">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消防</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386E72A">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灭火器</w:t>
            </w:r>
          </w:p>
        </w:tc>
      </w:tr>
      <w:tr w14:paraId="701CFADE">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85163A8">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12DA9">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74BD179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消防台</w:t>
            </w:r>
          </w:p>
        </w:tc>
      </w:tr>
      <w:tr w14:paraId="06F4D1DB">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E5F9417">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EE734A">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CB946F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消防设施</w:t>
            </w:r>
          </w:p>
        </w:tc>
      </w:tr>
      <w:tr w14:paraId="40E52B6B">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74827F68">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00EEAE">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85FFE46">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其它消防器材</w:t>
            </w:r>
          </w:p>
        </w:tc>
      </w:tr>
      <w:tr w14:paraId="1354B54C">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E7C623F">
            <w:pPr>
              <w:jc w:val="center"/>
              <w:rPr>
                <w:rFonts w:hint="eastAsia" w:ascii="宋体" w:hAnsi="宋体" w:cs="宋体"/>
                <w:sz w:val="22"/>
                <w:szCs w:val="21"/>
                <w:highlight w:val="none"/>
              </w:rPr>
            </w:pPr>
          </w:p>
        </w:tc>
        <w:tc>
          <w:tcPr>
            <w:tcW w:w="1711" w:type="dxa"/>
            <w:vMerge w:val="restart"/>
            <w:tcBorders>
              <w:left w:val="single" w:color="000000" w:sz="4" w:space="0"/>
              <w:right w:val="single" w:color="000000" w:sz="4" w:space="0"/>
            </w:tcBorders>
            <w:noWrap w:val="0"/>
            <w:vAlign w:val="center"/>
          </w:tcPr>
          <w:p w14:paraId="0CCA6DB8">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防汛</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A19C7DC">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水泵、水龙带</w:t>
            </w:r>
          </w:p>
        </w:tc>
      </w:tr>
      <w:tr w14:paraId="52EB284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EA7E808">
            <w:pPr>
              <w:jc w:val="center"/>
              <w:rPr>
                <w:rFonts w:hint="eastAsia" w:ascii="宋体" w:hAnsi="宋体" w:cs="宋体"/>
                <w:sz w:val="22"/>
                <w:szCs w:val="21"/>
                <w:highlight w:val="none"/>
              </w:rPr>
            </w:pPr>
          </w:p>
        </w:tc>
        <w:tc>
          <w:tcPr>
            <w:tcW w:w="1711" w:type="dxa"/>
            <w:vMerge w:val="continue"/>
            <w:tcBorders>
              <w:left w:val="single" w:color="000000" w:sz="4" w:space="0"/>
              <w:right w:val="single" w:color="000000" w:sz="4" w:space="0"/>
            </w:tcBorders>
            <w:noWrap w:val="0"/>
            <w:vAlign w:val="center"/>
          </w:tcPr>
          <w:p w14:paraId="372252E9">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2FF957E">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编织袋</w:t>
            </w:r>
          </w:p>
        </w:tc>
      </w:tr>
      <w:tr w14:paraId="4E5BAAF9">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651D346C">
            <w:pPr>
              <w:jc w:val="center"/>
              <w:rPr>
                <w:rFonts w:hint="eastAsia" w:ascii="宋体" w:hAnsi="宋体" w:cs="宋体"/>
                <w:sz w:val="22"/>
                <w:szCs w:val="21"/>
                <w:highlight w:val="none"/>
              </w:rPr>
            </w:pPr>
          </w:p>
        </w:tc>
        <w:tc>
          <w:tcPr>
            <w:tcW w:w="1711" w:type="dxa"/>
            <w:vMerge w:val="continue"/>
            <w:tcBorders>
              <w:left w:val="single" w:color="000000" w:sz="4" w:space="0"/>
              <w:right w:val="single" w:color="000000" w:sz="4" w:space="0"/>
            </w:tcBorders>
            <w:noWrap w:val="0"/>
            <w:vAlign w:val="center"/>
          </w:tcPr>
          <w:p w14:paraId="314FD4DD">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15CC185B">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铁锹</w:t>
            </w:r>
          </w:p>
        </w:tc>
      </w:tr>
      <w:tr w14:paraId="75B4B8FF">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2E348E6">
            <w:pPr>
              <w:jc w:val="center"/>
              <w:rPr>
                <w:rFonts w:hint="eastAsia" w:ascii="宋体" w:hAnsi="宋体" w:cs="宋体"/>
                <w:sz w:val="22"/>
                <w:szCs w:val="21"/>
                <w:highlight w:val="none"/>
              </w:rPr>
            </w:pPr>
          </w:p>
        </w:tc>
        <w:tc>
          <w:tcPr>
            <w:tcW w:w="1711" w:type="dxa"/>
            <w:vMerge w:val="continue"/>
            <w:tcBorders>
              <w:left w:val="single" w:color="000000" w:sz="4" w:space="0"/>
              <w:right w:val="single" w:color="000000" w:sz="4" w:space="0"/>
            </w:tcBorders>
            <w:noWrap w:val="0"/>
            <w:vAlign w:val="center"/>
          </w:tcPr>
          <w:p w14:paraId="1CD2C189">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C73ED8E">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发电机</w:t>
            </w:r>
          </w:p>
        </w:tc>
      </w:tr>
      <w:tr w14:paraId="2F36382D">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7FCEC6B1">
            <w:pPr>
              <w:jc w:val="center"/>
              <w:rPr>
                <w:rFonts w:hint="eastAsia" w:ascii="宋体" w:hAnsi="宋体" w:cs="宋体"/>
                <w:sz w:val="22"/>
                <w:szCs w:val="21"/>
                <w:highlight w:val="none"/>
              </w:rPr>
            </w:pPr>
          </w:p>
        </w:tc>
        <w:tc>
          <w:tcPr>
            <w:tcW w:w="1711" w:type="dxa"/>
            <w:vMerge w:val="continue"/>
            <w:tcBorders>
              <w:left w:val="single" w:color="000000" w:sz="4" w:space="0"/>
              <w:right w:val="single" w:color="000000" w:sz="4" w:space="0"/>
            </w:tcBorders>
            <w:noWrap w:val="0"/>
            <w:vAlign w:val="center"/>
          </w:tcPr>
          <w:p w14:paraId="6155255A">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697D84D">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救生衣、救生圈、救生绳</w:t>
            </w:r>
          </w:p>
        </w:tc>
      </w:tr>
      <w:tr w14:paraId="2DBB3823">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A333D00">
            <w:pPr>
              <w:jc w:val="center"/>
              <w:rPr>
                <w:rFonts w:hint="eastAsia" w:ascii="宋体" w:hAnsi="宋体" w:cs="宋体"/>
                <w:sz w:val="22"/>
                <w:szCs w:val="21"/>
                <w:highlight w:val="none"/>
              </w:rPr>
            </w:pPr>
          </w:p>
        </w:tc>
        <w:tc>
          <w:tcPr>
            <w:tcW w:w="1711" w:type="dxa"/>
            <w:vMerge w:val="continue"/>
            <w:tcBorders>
              <w:left w:val="single" w:color="000000" w:sz="4" w:space="0"/>
              <w:right w:val="single" w:color="000000" w:sz="4" w:space="0"/>
            </w:tcBorders>
            <w:noWrap w:val="0"/>
            <w:vAlign w:val="center"/>
          </w:tcPr>
          <w:p w14:paraId="6A58FAC1">
            <w:pPr>
              <w:jc w:val="center"/>
              <w:rPr>
                <w:rFonts w:hint="eastAsia" w:ascii="宋体" w:hAnsi="宋体" w:cs="宋体"/>
                <w:sz w:val="22"/>
                <w:szCs w:val="21"/>
                <w:highlight w:val="none"/>
              </w:rPr>
            </w:pPr>
          </w:p>
        </w:tc>
        <w:tc>
          <w:tcPr>
            <w:tcW w:w="5135" w:type="dxa"/>
            <w:tcBorders>
              <w:right w:val="single" w:color="auto" w:sz="4" w:space="0"/>
            </w:tcBorders>
            <w:noWrap w:val="0"/>
            <w:vAlign w:val="center"/>
          </w:tcPr>
          <w:p w14:paraId="76DFB6FB">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其它应急物资</w:t>
            </w:r>
          </w:p>
        </w:tc>
      </w:tr>
      <w:tr w14:paraId="1B0C5AF0">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541E3C5">
            <w:pPr>
              <w:jc w:val="center"/>
              <w:rPr>
                <w:rFonts w:hint="eastAsia" w:ascii="宋体" w:hAnsi="宋体" w:cs="宋体"/>
                <w:sz w:val="22"/>
                <w:szCs w:val="21"/>
                <w:highlight w:val="none"/>
              </w:rPr>
            </w:pP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596FEA14">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有限空间</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E628A3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气体检测仪</w:t>
            </w:r>
          </w:p>
        </w:tc>
      </w:tr>
      <w:tr w14:paraId="65A2C715">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31989409">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16AE52">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DB684C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通风设施、设备</w:t>
            </w:r>
          </w:p>
        </w:tc>
      </w:tr>
      <w:tr w14:paraId="6C3951A0">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34EAB48">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254F7">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18E1D583">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救援三角架</w:t>
            </w:r>
          </w:p>
        </w:tc>
      </w:tr>
      <w:tr w14:paraId="088F5F36">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77E0EFC3">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4B1B2B">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7ABCEF4">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救援器材</w:t>
            </w:r>
          </w:p>
        </w:tc>
      </w:tr>
      <w:tr w14:paraId="7A9765BA">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CE61F89">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A647B8">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7EF45AA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73538349">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23D209C">
            <w:pPr>
              <w:jc w:val="center"/>
              <w:rPr>
                <w:rFonts w:hint="eastAsia" w:ascii="宋体" w:hAnsi="宋体" w:cs="宋体"/>
                <w:sz w:val="22"/>
                <w:szCs w:val="21"/>
                <w:highlight w:val="none"/>
              </w:rPr>
            </w:pPr>
          </w:p>
        </w:tc>
        <w:tc>
          <w:tcPr>
            <w:tcW w:w="1711" w:type="dxa"/>
            <w:vMerge w:val="restart"/>
            <w:tcBorders>
              <w:left w:val="single" w:color="000000" w:sz="4" w:space="0"/>
              <w:bottom w:val="single" w:color="000000" w:sz="4" w:space="0"/>
              <w:right w:val="single" w:color="000000" w:sz="4" w:space="0"/>
            </w:tcBorders>
            <w:noWrap w:val="0"/>
            <w:vAlign w:val="center"/>
          </w:tcPr>
          <w:p w14:paraId="4FA1C8BA">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教育培训</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CDC8DAC">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教育培训、技能培训</w:t>
            </w:r>
          </w:p>
        </w:tc>
      </w:tr>
      <w:tr w14:paraId="7C825085">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EF81C27">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07D98CC6">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9FEF4D9">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培训资料、培训手册</w:t>
            </w:r>
          </w:p>
        </w:tc>
      </w:tr>
      <w:tr w14:paraId="02ED35B0">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AEEACE1">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5C98789C">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D5FD9C4">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安全宣传</w:t>
            </w:r>
          </w:p>
        </w:tc>
      </w:tr>
      <w:tr w14:paraId="2270916F">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6046251F">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4EF75E1F">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3C7A34B">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635FE567">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6AEB104">
            <w:pPr>
              <w:jc w:val="center"/>
              <w:rPr>
                <w:rFonts w:hint="eastAsia" w:ascii="宋体" w:hAnsi="宋体" w:cs="宋体"/>
                <w:sz w:val="22"/>
                <w:szCs w:val="21"/>
                <w:highlight w:val="none"/>
              </w:rPr>
            </w:pPr>
          </w:p>
        </w:tc>
        <w:tc>
          <w:tcPr>
            <w:tcW w:w="1711" w:type="dxa"/>
            <w:vMerge w:val="restart"/>
            <w:tcBorders>
              <w:left w:val="single" w:color="000000" w:sz="4" w:space="0"/>
              <w:bottom w:val="single" w:color="000000" w:sz="4" w:space="0"/>
              <w:right w:val="single" w:color="000000" w:sz="4" w:space="0"/>
            </w:tcBorders>
            <w:noWrap w:val="0"/>
            <w:vAlign w:val="center"/>
          </w:tcPr>
          <w:p w14:paraId="7E07AFA6">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危大工程</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54DF046">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专家论证</w:t>
            </w:r>
          </w:p>
        </w:tc>
      </w:tr>
      <w:tr w14:paraId="709B78A6">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280B30C">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338BFF38">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D06A7B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公示牌、警示标识</w:t>
            </w:r>
          </w:p>
        </w:tc>
      </w:tr>
      <w:tr w14:paraId="3F4A2F22">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A2ECD91">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2668F06A">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48CCF61">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78D706C6">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3346552A">
            <w:pPr>
              <w:jc w:val="center"/>
              <w:rPr>
                <w:rFonts w:hint="eastAsia" w:ascii="宋体" w:hAnsi="宋体" w:cs="宋体"/>
                <w:sz w:val="22"/>
                <w:szCs w:val="21"/>
                <w:highlight w:val="none"/>
              </w:rPr>
            </w:pP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59553B55">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应急管理</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9C3604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应急救援演练</w:t>
            </w:r>
          </w:p>
        </w:tc>
      </w:tr>
      <w:tr w14:paraId="3F71D6A4">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94BB39B">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3A0FC0">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B63804B">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救援演练评估</w:t>
            </w:r>
          </w:p>
        </w:tc>
      </w:tr>
      <w:tr w14:paraId="71B2683F">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505158C2">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D34506">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0208A3B">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7B61464D">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DD7EDDA">
            <w:pPr>
              <w:jc w:val="center"/>
              <w:rPr>
                <w:rFonts w:hint="eastAsia" w:ascii="宋体" w:hAnsi="宋体" w:cs="宋体"/>
                <w:sz w:val="22"/>
                <w:szCs w:val="21"/>
                <w:highlight w:val="none"/>
              </w:rPr>
            </w:pPr>
          </w:p>
        </w:tc>
        <w:tc>
          <w:tcPr>
            <w:tcW w:w="1711" w:type="dxa"/>
            <w:vMerge w:val="restart"/>
            <w:tcBorders>
              <w:left w:val="single" w:color="000000" w:sz="4" w:space="0"/>
              <w:bottom w:val="single" w:color="000000" w:sz="4" w:space="0"/>
              <w:right w:val="single" w:color="000000" w:sz="4" w:space="0"/>
            </w:tcBorders>
            <w:noWrap w:val="0"/>
            <w:vAlign w:val="center"/>
          </w:tcPr>
          <w:p w14:paraId="0FD8A3E6">
            <w:pPr>
              <w:widowControl/>
              <w:jc w:val="center"/>
              <w:textAlignment w:val="center"/>
              <w:rPr>
                <w:rFonts w:hint="eastAsia" w:ascii="宋体" w:hAnsi="宋体" w:cs="宋体"/>
                <w:kern w:val="0"/>
                <w:sz w:val="22"/>
                <w:szCs w:val="21"/>
                <w:highlight w:val="none"/>
              </w:rPr>
            </w:pPr>
            <w:r>
              <w:rPr>
                <w:rFonts w:hint="eastAsia" w:ascii="宋体" w:hAnsi="宋体" w:cs="宋体"/>
                <w:kern w:val="0"/>
                <w:sz w:val="22"/>
                <w:szCs w:val="21"/>
                <w:highlight w:val="none"/>
              </w:rPr>
              <w:t>现场文明</w:t>
            </w:r>
          </w:p>
          <w:p w14:paraId="1B221F9C">
            <w:pPr>
              <w:pStyle w:val="9"/>
              <w:rPr>
                <w:rFonts w:hint="eastAsia"/>
                <w:sz w:val="22"/>
                <w:szCs w:val="18"/>
                <w:highlight w:val="none"/>
              </w:rPr>
            </w:pPr>
          </w:p>
          <w:p w14:paraId="0F5B0922">
            <w:pPr>
              <w:widowControl/>
              <w:jc w:val="center"/>
              <w:textAlignment w:val="center"/>
              <w:rPr>
                <w:rFonts w:hint="eastAsia" w:ascii="宋体" w:hAnsi="宋体" w:cs="宋体"/>
                <w:kern w:val="0"/>
                <w:sz w:val="22"/>
                <w:szCs w:val="21"/>
                <w:highlight w:val="none"/>
              </w:rPr>
            </w:pPr>
          </w:p>
          <w:p w14:paraId="62E6F781">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施工</w:t>
            </w:r>
          </w:p>
        </w:tc>
        <w:tc>
          <w:tcPr>
            <w:tcW w:w="5135" w:type="dxa"/>
            <w:tcBorders>
              <w:right w:val="single" w:color="auto" w:sz="4" w:space="0"/>
            </w:tcBorders>
            <w:noWrap w:val="0"/>
            <w:vAlign w:val="center"/>
          </w:tcPr>
          <w:p w14:paraId="5E619F5F">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现场围挡</w:t>
            </w:r>
          </w:p>
        </w:tc>
      </w:tr>
      <w:tr w14:paraId="67328EB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3E08EF8F">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0689FE89">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1F8E382D">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工地大门、门楼</w:t>
            </w:r>
          </w:p>
        </w:tc>
      </w:tr>
      <w:tr w14:paraId="1F9C9154">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6C036724">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188E8D90">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6505E673">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门卫岗亭</w:t>
            </w:r>
          </w:p>
        </w:tc>
      </w:tr>
      <w:tr w14:paraId="20845CAE">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35FDA53A">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42CCF7D0">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524B8CD">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门禁系统</w:t>
            </w:r>
          </w:p>
        </w:tc>
      </w:tr>
      <w:tr w14:paraId="5806A389">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5307FE4A">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1AEFB8F2">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544BA5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监控系统</w:t>
            </w:r>
          </w:p>
        </w:tc>
      </w:tr>
      <w:tr w14:paraId="6780884E">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7D84B681">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5FE6D228">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709F067F">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五牌一图</w:t>
            </w:r>
          </w:p>
        </w:tc>
      </w:tr>
      <w:tr w14:paraId="23899BA7">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0E69EE7C">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27A15375">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F03238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企业宣传</w:t>
            </w:r>
          </w:p>
        </w:tc>
      </w:tr>
      <w:tr w14:paraId="65473A8E">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D128FA3">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6A47E372">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B5EF239">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交通导改（爆闪灯、锥形桶、水码）</w:t>
            </w:r>
          </w:p>
        </w:tc>
      </w:tr>
      <w:tr w14:paraId="694C4C48">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4ADFD70">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1836D750">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0DF0BA5">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警戒线、警示灯</w:t>
            </w:r>
          </w:p>
        </w:tc>
      </w:tr>
      <w:tr w14:paraId="06A98074">
        <w:tblPrEx>
          <w:tblCellMar>
            <w:top w:w="15" w:type="dxa"/>
            <w:left w:w="15" w:type="dxa"/>
            <w:bottom w:w="15" w:type="dxa"/>
            <w:right w:w="15" w:type="dxa"/>
          </w:tblCellMar>
        </w:tblPrEx>
        <w:trPr>
          <w:trHeight w:val="246"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C366876">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28CB4734">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4290E03">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材料加工场（木工加工场、钢筋加工场、其他材料加工场地）</w:t>
            </w:r>
          </w:p>
        </w:tc>
      </w:tr>
      <w:tr w14:paraId="27A49022">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43926D8">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56E02D2C">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7DFA3951">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场地绿化</w:t>
            </w:r>
          </w:p>
        </w:tc>
      </w:tr>
      <w:tr w14:paraId="567A9415">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855FC06">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7F812A1C">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1F74ABA7">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场地排水</w:t>
            </w:r>
          </w:p>
        </w:tc>
      </w:tr>
      <w:tr w14:paraId="1FD93B55">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C64ED17">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12AEFAE7">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4635324">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材料库房</w:t>
            </w:r>
          </w:p>
        </w:tc>
      </w:tr>
      <w:tr w14:paraId="71D1162C">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8058532">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546E70E7">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69D6B79">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材料标识、标牌</w:t>
            </w:r>
          </w:p>
        </w:tc>
      </w:tr>
      <w:tr w14:paraId="19E1088B">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6EC7DAD2">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15A4AD0B">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1080EE9">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安全标识、标语</w:t>
            </w:r>
          </w:p>
        </w:tc>
      </w:tr>
      <w:tr w14:paraId="0F5E25A6">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5DFB310">
            <w:pPr>
              <w:jc w:val="center"/>
              <w:rPr>
                <w:rFonts w:hint="eastAsia" w:ascii="宋体" w:hAnsi="宋体" w:cs="宋体"/>
                <w:sz w:val="22"/>
                <w:szCs w:val="21"/>
                <w:highlight w:val="none"/>
              </w:rPr>
            </w:pPr>
          </w:p>
        </w:tc>
        <w:tc>
          <w:tcPr>
            <w:tcW w:w="1711" w:type="dxa"/>
            <w:vMerge w:val="continue"/>
            <w:tcBorders>
              <w:left w:val="single" w:color="000000" w:sz="4" w:space="0"/>
              <w:bottom w:val="single" w:color="000000" w:sz="4" w:space="0"/>
              <w:right w:val="single" w:color="000000" w:sz="4" w:space="0"/>
            </w:tcBorders>
            <w:noWrap w:val="0"/>
            <w:vAlign w:val="center"/>
          </w:tcPr>
          <w:p w14:paraId="78E2FEB6">
            <w:pPr>
              <w:jc w:val="center"/>
              <w:rPr>
                <w:rFonts w:hint="eastAsia" w:ascii="宋体" w:hAnsi="宋体" w:cs="宋体"/>
                <w:sz w:val="22"/>
                <w:szCs w:val="21"/>
                <w:highlight w:val="none"/>
              </w:rPr>
            </w:pPr>
          </w:p>
        </w:tc>
        <w:tc>
          <w:tcPr>
            <w:tcW w:w="5135" w:type="dxa"/>
            <w:tcBorders>
              <w:right w:val="single" w:color="auto" w:sz="4" w:space="0"/>
            </w:tcBorders>
            <w:noWrap w:val="0"/>
            <w:vAlign w:val="center"/>
          </w:tcPr>
          <w:p w14:paraId="41AF5EFA">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21C7F5F6">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4735516A">
            <w:pPr>
              <w:jc w:val="center"/>
              <w:rPr>
                <w:rFonts w:hint="eastAsia" w:ascii="宋体" w:hAnsi="宋体" w:cs="宋体"/>
                <w:sz w:val="22"/>
                <w:szCs w:val="21"/>
                <w:highlight w:val="none"/>
              </w:rPr>
            </w:pP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746F1535">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卫生</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EFC324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防暑降温</w:t>
            </w:r>
          </w:p>
        </w:tc>
      </w:tr>
      <w:tr w14:paraId="58890D09">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6C6784A4">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6C575B">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4E90811">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急救物资</w:t>
            </w:r>
          </w:p>
        </w:tc>
      </w:tr>
      <w:tr w14:paraId="19F35B3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27B704B8">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243B98">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1A66BB6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防虫、防蝇、防蚊等</w:t>
            </w:r>
          </w:p>
        </w:tc>
      </w:tr>
      <w:tr w14:paraId="0A30AB92">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1D7DE528">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9DAC9">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15E586D">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其它消毒</w:t>
            </w:r>
          </w:p>
        </w:tc>
      </w:tr>
      <w:tr w14:paraId="6E0DCCBF">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7C492599">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9A3E55">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735530A">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794E585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right w:val="single" w:color="000000" w:sz="4" w:space="0"/>
            </w:tcBorders>
            <w:noWrap w:val="0"/>
            <w:vAlign w:val="center"/>
          </w:tcPr>
          <w:p w14:paraId="52E2AED7">
            <w:pPr>
              <w:jc w:val="center"/>
              <w:rPr>
                <w:rFonts w:hint="eastAsia" w:ascii="宋体" w:hAnsi="宋体" w:cs="宋体"/>
                <w:sz w:val="22"/>
                <w:szCs w:val="21"/>
                <w:highlight w:val="none"/>
              </w:rPr>
            </w:pPr>
          </w:p>
        </w:tc>
        <w:tc>
          <w:tcPr>
            <w:tcW w:w="1711" w:type="dxa"/>
            <w:tcBorders>
              <w:left w:val="single" w:color="000000" w:sz="4" w:space="0"/>
              <w:right w:val="single" w:color="000000" w:sz="4" w:space="0"/>
            </w:tcBorders>
            <w:noWrap w:val="0"/>
            <w:vAlign w:val="center"/>
          </w:tcPr>
          <w:p w14:paraId="6661A2B2">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其它项</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95F81C6">
            <w:pPr>
              <w:rPr>
                <w:rFonts w:hint="eastAsia" w:ascii="宋体" w:hAnsi="宋体" w:cs="宋体"/>
                <w:sz w:val="22"/>
                <w:szCs w:val="21"/>
                <w:highlight w:val="none"/>
              </w:rPr>
            </w:pPr>
          </w:p>
        </w:tc>
      </w:tr>
      <w:tr w14:paraId="63350845">
        <w:tblPrEx>
          <w:tblCellMar>
            <w:top w:w="15" w:type="dxa"/>
            <w:left w:w="15" w:type="dxa"/>
            <w:bottom w:w="15" w:type="dxa"/>
            <w:right w:w="15" w:type="dxa"/>
          </w:tblCellMar>
        </w:tblPrEx>
        <w:trPr>
          <w:trHeight w:val="131" w:hRule="atLeast"/>
          <w:jc w:val="center"/>
        </w:trPr>
        <w:tc>
          <w:tcPr>
            <w:tcW w:w="1164" w:type="dxa"/>
            <w:vMerge w:val="restart"/>
            <w:tcBorders>
              <w:top w:val="single" w:color="000000" w:sz="4" w:space="0"/>
              <w:left w:val="single" w:color="000000" w:sz="4" w:space="0"/>
              <w:bottom w:val="single" w:color="000000" w:sz="4" w:space="0"/>
              <w:right w:val="single" w:color="000000" w:sz="4" w:space="0"/>
            </w:tcBorders>
            <w:noWrap w:val="0"/>
            <w:vAlign w:val="center"/>
          </w:tcPr>
          <w:p w14:paraId="07A0F490">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临时设施</w:t>
            </w: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37E3609E">
            <w:pPr>
              <w:widowControl/>
              <w:jc w:val="center"/>
              <w:textAlignment w:val="center"/>
              <w:rPr>
                <w:rFonts w:hint="eastAsia" w:ascii="宋体" w:hAnsi="宋体" w:cs="宋体"/>
                <w:kern w:val="0"/>
                <w:sz w:val="22"/>
                <w:szCs w:val="21"/>
                <w:highlight w:val="none"/>
              </w:rPr>
            </w:pPr>
            <w:r>
              <w:rPr>
                <w:rFonts w:hint="eastAsia" w:ascii="宋体" w:hAnsi="宋体" w:cs="宋体"/>
                <w:kern w:val="0"/>
                <w:sz w:val="22"/>
                <w:szCs w:val="21"/>
                <w:highlight w:val="none"/>
              </w:rPr>
              <w:t>人员临时</w:t>
            </w:r>
          </w:p>
          <w:p w14:paraId="34E747C6">
            <w:pPr>
              <w:pStyle w:val="9"/>
              <w:rPr>
                <w:rFonts w:hint="eastAsia"/>
                <w:sz w:val="22"/>
                <w:szCs w:val="18"/>
                <w:highlight w:val="none"/>
              </w:rPr>
            </w:pPr>
          </w:p>
          <w:p w14:paraId="5C4ABD63">
            <w:pPr>
              <w:widowControl/>
              <w:jc w:val="center"/>
              <w:textAlignment w:val="center"/>
              <w:rPr>
                <w:rFonts w:hint="eastAsia" w:ascii="宋体" w:hAnsi="宋体" w:cs="宋体"/>
                <w:kern w:val="0"/>
                <w:sz w:val="22"/>
                <w:szCs w:val="21"/>
                <w:highlight w:val="none"/>
              </w:rPr>
            </w:pPr>
          </w:p>
          <w:p w14:paraId="3F8B3ADA">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设施</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973026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办公区（办公室、会议室）</w:t>
            </w:r>
          </w:p>
        </w:tc>
      </w:tr>
      <w:tr w14:paraId="7356085E">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1283EA">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3BAE1D">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5BF55DBA">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员工食堂（操作间、餐厅）</w:t>
            </w:r>
          </w:p>
        </w:tc>
      </w:tr>
      <w:tr w14:paraId="7A18CFA1">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E0EB9B">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C7C3D">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EE1B6BB">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生活区（宿舍、浴室、卫生间等）</w:t>
            </w:r>
          </w:p>
        </w:tc>
      </w:tr>
      <w:tr w14:paraId="07C9A325">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C9CF4E">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C94F4">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7F67DB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门卫室</w:t>
            </w:r>
          </w:p>
        </w:tc>
      </w:tr>
      <w:tr w14:paraId="6AC2615E">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7AF0E8">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293AF4">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51DFE12">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娱乐室、休息室等</w:t>
            </w:r>
          </w:p>
        </w:tc>
      </w:tr>
      <w:tr w14:paraId="69B5629A">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E1D74F">
            <w:pPr>
              <w:jc w:val="center"/>
              <w:rPr>
                <w:rFonts w:hint="eastAsia" w:ascii="宋体" w:hAnsi="宋体" w:cs="宋体"/>
                <w:sz w:val="22"/>
                <w:szCs w:val="21"/>
                <w:highlight w:val="none"/>
              </w:rPr>
            </w:pPr>
          </w:p>
        </w:tc>
        <w:tc>
          <w:tcPr>
            <w:tcW w:w="1711" w:type="dxa"/>
            <w:vMerge w:val="restart"/>
            <w:tcBorders>
              <w:top w:val="single" w:color="000000" w:sz="4" w:space="0"/>
              <w:left w:val="single" w:color="000000" w:sz="4" w:space="0"/>
              <w:bottom w:val="single" w:color="000000" w:sz="4" w:space="0"/>
              <w:right w:val="single" w:color="000000" w:sz="4" w:space="0"/>
            </w:tcBorders>
            <w:noWrap w:val="0"/>
            <w:vAlign w:val="center"/>
          </w:tcPr>
          <w:p w14:paraId="7A6AD90A">
            <w:pPr>
              <w:widowControl/>
              <w:jc w:val="center"/>
              <w:textAlignment w:val="center"/>
              <w:rPr>
                <w:rFonts w:hint="eastAsia" w:ascii="宋体" w:hAnsi="宋体" w:cs="宋体"/>
                <w:kern w:val="0"/>
                <w:sz w:val="22"/>
                <w:szCs w:val="21"/>
                <w:highlight w:val="none"/>
              </w:rPr>
            </w:pPr>
            <w:r>
              <w:rPr>
                <w:rFonts w:hint="eastAsia" w:ascii="宋体" w:hAnsi="宋体" w:cs="宋体"/>
                <w:kern w:val="0"/>
                <w:sz w:val="22"/>
                <w:szCs w:val="21"/>
                <w:highlight w:val="none"/>
              </w:rPr>
              <w:t>现场临时</w:t>
            </w:r>
          </w:p>
          <w:p w14:paraId="6D55A3BF">
            <w:pPr>
              <w:pStyle w:val="9"/>
              <w:rPr>
                <w:rFonts w:hint="eastAsia"/>
                <w:sz w:val="22"/>
                <w:szCs w:val="18"/>
                <w:highlight w:val="none"/>
              </w:rPr>
            </w:pPr>
          </w:p>
          <w:p w14:paraId="1DBADABA">
            <w:pPr>
              <w:widowControl/>
              <w:jc w:val="center"/>
              <w:textAlignment w:val="center"/>
              <w:rPr>
                <w:rFonts w:hint="eastAsia" w:ascii="宋体" w:hAnsi="宋体" w:cs="宋体"/>
                <w:kern w:val="0"/>
                <w:sz w:val="22"/>
                <w:szCs w:val="21"/>
                <w:highlight w:val="none"/>
              </w:rPr>
            </w:pPr>
          </w:p>
          <w:p w14:paraId="1901A964">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设施</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0734250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实验室、标养室等</w:t>
            </w:r>
          </w:p>
        </w:tc>
      </w:tr>
      <w:tr w14:paraId="254CF379">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1357E3">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2554BB">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28599A33">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现场材料仓库</w:t>
            </w:r>
          </w:p>
        </w:tc>
      </w:tr>
      <w:tr w14:paraId="17BAFF54">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C06A25">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D9FE52">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4BD60248">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停车场</w:t>
            </w:r>
          </w:p>
        </w:tc>
      </w:tr>
      <w:tr w14:paraId="54DF6A40">
        <w:tblPrEx>
          <w:tblCellMar>
            <w:top w:w="15" w:type="dxa"/>
            <w:left w:w="15" w:type="dxa"/>
            <w:bottom w:w="15" w:type="dxa"/>
            <w:right w:w="15" w:type="dxa"/>
          </w:tblCellMar>
        </w:tblPrEx>
        <w:trPr>
          <w:trHeight w:val="131"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A077C9">
            <w:pPr>
              <w:jc w:val="center"/>
              <w:rPr>
                <w:rFonts w:hint="eastAsia" w:ascii="宋体" w:hAnsi="宋体" w:cs="宋体"/>
                <w:sz w:val="22"/>
                <w:szCs w:val="21"/>
                <w:highlight w:val="none"/>
              </w:rPr>
            </w:pPr>
          </w:p>
        </w:tc>
        <w:tc>
          <w:tcPr>
            <w:tcW w:w="17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0BCF7D">
            <w:pPr>
              <w:jc w:val="center"/>
              <w:rPr>
                <w:rFonts w:hint="eastAsia" w:ascii="宋体" w:hAnsi="宋体" w:cs="宋体"/>
                <w:sz w:val="22"/>
                <w:szCs w:val="21"/>
                <w:highlight w:val="none"/>
              </w:rPr>
            </w:pP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7C904140">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其它</w:t>
            </w:r>
          </w:p>
        </w:tc>
      </w:tr>
      <w:tr w14:paraId="49431BB0">
        <w:tblPrEx>
          <w:tblCellMar>
            <w:top w:w="15" w:type="dxa"/>
            <w:left w:w="15" w:type="dxa"/>
            <w:bottom w:w="15" w:type="dxa"/>
            <w:right w:w="15" w:type="dxa"/>
          </w:tblCellMar>
        </w:tblPrEx>
        <w:trPr>
          <w:trHeight w:val="131" w:hRule="atLeast"/>
          <w:jc w:val="center"/>
        </w:trPr>
        <w:tc>
          <w:tcPr>
            <w:tcW w:w="1164" w:type="dxa"/>
            <w:vMerge w:val="restart"/>
            <w:tcBorders>
              <w:top w:val="single" w:color="000000" w:sz="4" w:space="0"/>
              <w:left w:val="single" w:color="000000" w:sz="4" w:space="0"/>
              <w:bottom w:val="single" w:color="000000" w:sz="4" w:space="0"/>
              <w:right w:val="single" w:color="000000" w:sz="4" w:space="0"/>
            </w:tcBorders>
            <w:noWrap w:val="0"/>
            <w:vAlign w:val="center"/>
          </w:tcPr>
          <w:p w14:paraId="55381EB4">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实名制管理</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457C9061">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人员实名制登记</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748A8B91">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进出场实名制登记</w:t>
            </w:r>
          </w:p>
        </w:tc>
      </w:tr>
      <w:tr w14:paraId="2D5898F4">
        <w:tblPrEx>
          <w:tblCellMar>
            <w:top w:w="15" w:type="dxa"/>
            <w:left w:w="15" w:type="dxa"/>
            <w:bottom w:w="15" w:type="dxa"/>
            <w:right w:w="15" w:type="dxa"/>
          </w:tblCellMar>
        </w:tblPrEx>
        <w:trPr>
          <w:trHeight w:val="134" w:hRule="atLeast"/>
          <w:jc w:val="center"/>
        </w:trPr>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09249E">
            <w:pPr>
              <w:jc w:val="center"/>
              <w:rPr>
                <w:rFonts w:hint="eastAsia" w:ascii="宋体" w:hAnsi="宋体" w:cs="宋体"/>
                <w:sz w:val="22"/>
                <w:szCs w:val="21"/>
                <w:highlight w:val="none"/>
              </w:rPr>
            </w:pPr>
          </w:p>
        </w:tc>
        <w:tc>
          <w:tcPr>
            <w:tcW w:w="1711" w:type="dxa"/>
            <w:tcBorders>
              <w:top w:val="single" w:color="000000" w:sz="4" w:space="0"/>
              <w:left w:val="single" w:color="000000" w:sz="4" w:space="0"/>
              <w:bottom w:val="single" w:color="000000" w:sz="4" w:space="0"/>
              <w:right w:val="single" w:color="000000" w:sz="4" w:space="0"/>
            </w:tcBorders>
            <w:noWrap w:val="0"/>
            <w:vAlign w:val="center"/>
          </w:tcPr>
          <w:p w14:paraId="37518E2A">
            <w:pPr>
              <w:widowControl/>
              <w:jc w:val="center"/>
              <w:textAlignment w:val="center"/>
              <w:rPr>
                <w:rFonts w:hint="eastAsia" w:ascii="宋体" w:hAnsi="宋体" w:cs="宋体"/>
                <w:sz w:val="22"/>
                <w:szCs w:val="21"/>
                <w:highlight w:val="none"/>
              </w:rPr>
            </w:pPr>
            <w:r>
              <w:rPr>
                <w:rFonts w:hint="eastAsia" w:ascii="宋体" w:hAnsi="宋体" w:cs="宋体"/>
                <w:kern w:val="0"/>
                <w:sz w:val="22"/>
                <w:szCs w:val="21"/>
                <w:highlight w:val="none"/>
              </w:rPr>
              <w:t>人员管理</w:t>
            </w:r>
          </w:p>
        </w:tc>
        <w:tc>
          <w:tcPr>
            <w:tcW w:w="5135" w:type="dxa"/>
            <w:tcBorders>
              <w:top w:val="single" w:color="000000" w:sz="4" w:space="0"/>
              <w:left w:val="single" w:color="000000" w:sz="4" w:space="0"/>
              <w:bottom w:val="single" w:color="000000" w:sz="4" w:space="0"/>
              <w:right w:val="single" w:color="000000" w:sz="4" w:space="0"/>
            </w:tcBorders>
            <w:noWrap w:val="0"/>
            <w:vAlign w:val="center"/>
          </w:tcPr>
          <w:p w14:paraId="305965B5">
            <w:pPr>
              <w:widowControl/>
              <w:jc w:val="left"/>
              <w:textAlignment w:val="center"/>
              <w:rPr>
                <w:rFonts w:hint="eastAsia" w:ascii="宋体" w:hAnsi="宋体" w:cs="宋体"/>
                <w:sz w:val="22"/>
                <w:szCs w:val="21"/>
                <w:highlight w:val="none"/>
              </w:rPr>
            </w:pPr>
            <w:r>
              <w:rPr>
                <w:rFonts w:hint="eastAsia" w:ascii="宋体" w:hAnsi="宋体" w:cs="宋体"/>
                <w:kern w:val="0"/>
                <w:sz w:val="22"/>
                <w:szCs w:val="21"/>
                <w:highlight w:val="none"/>
              </w:rPr>
              <w:t>人员实名制管理</w:t>
            </w:r>
          </w:p>
        </w:tc>
      </w:tr>
    </w:tbl>
    <w:p w14:paraId="7A6B2478">
      <w:pPr>
        <w:rPr>
          <w:rFonts w:hint="eastAsia" w:ascii="宋体" w:hAnsi="宋体" w:cs="宋体"/>
          <w:b/>
          <w:szCs w:val="21"/>
          <w:highlight w:val="none"/>
        </w:rPr>
      </w:pPr>
    </w:p>
    <w:p w14:paraId="67B2FA61">
      <w:pPr>
        <w:rPr>
          <w:rFonts w:hint="eastAsia" w:ascii="宋体" w:hAnsi="宋体" w:cs="宋体"/>
          <w:b/>
          <w:szCs w:val="21"/>
          <w:highlight w:val="none"/>
        </w:rPr>
      </w:pPr>
    </w:p>
    <w:p w14:paraId="6BA762D2">
      <w:pPr>
        <w:rPr>
          <w:rFonts w:hint="eastAsia" w:ascii="宋体" w:hAnsi="宋体" w:cs="宋体"/>
          <w:b/>
          <w:szCs w:val="21"/>
          <w:highlight w:val="none"/>
        </w:rPr>
      </w:pPr>
    </w:p>
    <w:p w14:paraId="020DC124">
      <w:pPr>
        <w:rPr>
          <w:rFonts w:hint="eastAsia" w:ascii="宋体" w:hAnsi="宋体" w:cs="宋体"/>
          <w:b/>
          <w:szCs w:val="21"/>
          <w:highlight w:val="none"/>
        </w:rPr>
      </w:pPr>
    </w:p>
    <w:p w14:paraId="26333609">
      <w:pPr>
        <w:rPr>
          <w:rFonts w:hint="eastAsia" w:ascii="宋体" w:hAnsi="宋体" w:cs="宋体"/>
          <w:b/>
          <w:szCs w:val="21"/>
          <w:highlight w:val="none"/>
        </w:rPr>
      </w:pPr>
    </w:p>
    <w:p w14:paraId="3EDB54AB">
      <w:pPr>
        <w:rPr>
          <w:rFonts w:hint="eastAsia" w:ascii="宋体" w:hAnsi="宋体" w:cs="宋体"/>
          <w:b/>
          <w:szCs w:val="21"/>
          <w:highlight w:val="none"/>
        </w:rPr>
      </w:pPr>
    </w:p>
    <w:p w14:paraId="068E1012">
      <w:pPr>
        <w:rPr>
          <w:rFonts w:hint="eastAsia" w:ascii="宋体" w:hAnsi="宋体" w:cs="宋体"/>
          <w:b/>
          <w:szCs w:val="21"/>
          <w:highlight w:val="none"/>
        </w:rPr>
      </w:pPr>
    </w:p>
    <w:p w14:paraId="3FA43FF4">
      <w:pPr>
        <w:rPr>
          <w:rFonts w:hint="eastAsia" w:ascii="宋体" w:hAnsi="宋体" w:cs="宋体"/>
          <w:b/>
          <w:szCs w:val="21"/>
          <w:highlight w:val="none"/>
        </w:rPr>
      </w:pPr>
    </w:p>
    <w:p w14:paraId="7672C1C9">
      <w:pPr>
        <w:rPr>
          <w:rFonts w:hint="eastAsia" w:ascii="宋体" w:hAnsi="宋体" w:cs="宋体"/>
          <w:szCs w:val="21"/>
          <w:highlight w:val="none"/>
        </w:rPr>
      </w:pPr>
      <w:r>
        <w:rPr>
          <w:rFonts w:hint="eastAsia" w:ascii="宋体" w:hAnsi="宋体" w:cs="宋体"/>
          <w:b/>
          <w:szCs w:val="21"/>
          <w:highlight w:val="none"/>
        </w:rPr>
        <w:t>注：</w:t>
      </w:r>
      <w:r>
        <w:rPr>
          <w:rFonts w:hint="eastAsia" w:ascii="宋体" w:hAnsi="宋体" w:cs="宋体"/>
          <w:highlight w:val="none"/>
        </w:rPr>
        <w:t>承包人结合项目实际情况，可对以上各项措施按有关规定进行修改、完善，提出现场实施的具体措施并全权负责。在工程建设期间承包人应负责定期进行检查、维护、修复，接受有关部门的检查，对不符合要求的应当按检查提出的意见和建议进行整改并承担其费用，确保各项安全文明施工措施落到实处。</w:t>
      </w:r>
    </w:p>
    <w:p w14:paraId="4E443FA5">
      <w:pPr>
        <w:rPr>
          <w:rFonts w:hint="eastAsia" w:ascii="宋体" w:hAnsi="宋体" w:cs="宋体"/>
          <w:b/>
          <w:szCs w:val="21"/>
          <w:highlight w:val="none"/>
        </w:rPr>
      </w:pPr>
    </w:p>
    <w:p w14:paraId="709090EA">
      <w:pPr>
        <w:rPr>
          <w:rFonts w:hint="eastAsia" w:ascii="宋体" w:hAnsi="宋体" w:cs="宋体"/>
          <w:b/>
          <w:szCs w:val="21"/>
          <w:highlight w:val="none"/>
        </w:rPr>
      </w:pPr>
    </w:p>
    <w:p w14:paraId="72D8CD7F">
      <w:pPr>
        <w:rPr>
          <w:rFonts w:hint="eastAsia" w:ascii="宋体" w:hAnsi="宋体" w:cs="宋体"/>
          <w:b/>
          <w:szCs w:val="21"/>
          <w:highlight w:val="none"/>
        </w:rPr>
      </w:pPr>
    </w:p>
    <w:p w14:paraId="4941E794">
      <w:pPr>
        <w:rPr>
          <w:rFonts w:hint="eastAsia" w:ascii="宋体" w:hAnsi="宋体" w:cs="宋体"/>
          <w:b/>
          <w:szCs w:val="21"/>
          <w:highlight w:val="none"/>
        </w:rPr>
      </w:pPr>
    </w:p>
    <w:p w14:paraId="362672B8">
      <w:pPr>
        <w:rPr>
          <w:rFonts w:hint="eastAsia" w:ascii="宋体" w:hAnsi="宋体" w:cs="宋体"/>
          <w:b/>
          <w:szCs w:val="21"/>
          <w:highlight w:val="none"/>
        </w:rPr>
      </w:pPr>
    </w:p>
    <w:p w14:paraId="7DFBDF56">
      <w:pPr>
        <w:rPr>
          <w:rFonts w:hint="eastAsia" w:ascii="宋体" w:hAnsi="宋体" w:cs="宋体"/>
          <w:b/>
          <w:szCs w:val="21"/>
          <w:highlight w:val="none"/>
        </w:rPr>
      </w:pPr>
    </w:p>
    <w:p w14:paraId="25F55D9B">
      <w:pPr>
        <w:rPr>
          <w:rFonts w:hint="eastAsia" w:ascii="宋体" w:hAnsi="宋体" w:cs="宋体"/>
          <w:b/>
          <w:szCs w:val="21"/>
          <w:highlight w:val="none"/>
        </w:rPr>
      </w:pPr>
    </w:p>
    <w:p w14:paraId="314DF01F">
      <w:pPr>
        <w:rPr>
          <w:rFonts w:hint="eastAsia" w:ascii="宋体" w:hAnsi="宋体" w:cs="宋体"/>
          <w:b/>
          <w:szCs w:val="21"/>
          <w:highlight w:val="none"/>
        </w:rPr>
      </w:pPr>
    </w:p>
    <w:p w14:paraId="7107E3D8">
      <w:pPr>
        <w:rPr>
          <w:rFonts w:hint="eastAsia" w:ascii="宋体" w:hAnsi="宋体" w:cs="宋体"/>
          <w:b/>
          <w:szCs w:val="21"/>
          <w:highlight w:val="none"/>
        </w:rPr>
      </w:pPr>
    </w:p>
    <w:p w14:paraId="08C73479">
      <w:pPr>
        <w:rPr>
          <w:rFonts w:hint="eastAsia" w:ascii="宋体" w:hAnsi="宋体" w:cs="宋体"/>
          <w:b/>
          <w:szCs w:val="21"/>
          <w:highlight w:val="none"/>
        </w:rPr>
      </w:pPr>
    </w:p>
    <w:p w14:paraId="3746C5E2">
      <w:pPr>
        <w:rPr>
          <w:rFonts w:hint="eastAsia" w:ascii="宋体" w:hAnsi="宋体" w:cs="宋体"/>
          <w:b/>
          <w:szCs w:val="21"/>
          <w:highlight w:val="none"/>
        </w:rPr>
      </w:pPr>
    </w:p>
    <w:p w14:paraId="1DAAF5B4">
      <w:pPr>
        <w:rPr>
          <w:rFonts w:hint="eastAsia" w:ascii="宋体" w:hAnsi="宋体" w:cs="宋体"/>
          <w:b/>
          <w:szCs w:val="21"/>
          <w:highlight w:val="none"/>
        </w:rPr>
      </w:pPr>
    </w:p>
    <w:p w14:paraId="190B0726">
      <w:pPr>
        <w:rPr>
          <w:rFonts w:hint="eastAsia" w:ascii="宋体" w:hAnsi="宋体" w:cs="宋体"/>
          <w:b/>
          <w:szCs w:val="21"/>
          <w:highlight w:val="none"/>
        </w:rPr>
      </w:pPr>
    </w:p>
    <w:p w14:paraId="018A2215">
      <w:pPr>
        <w:rPr>
          <w:rFonts w:hint="eastAsia" w:ascii="宋体" w:hAnsi="宋体" w:cs="宋体"/>
          <w:b/>
          <w:szCs w:val="21"/>
          <w:highlight w:val="none"/>
        </w:rPr>
      </w:pPr>
    </w:p>
    <w:p w14:paraId="2D6A8011">
      <w:pPr>
        <w:rPr>
          <w:rFonts w:hint="eastAsia" w:ascii="宋体" w:hAnsi="宋体" w:cs="宋体"/>
          <w:b/>
          <w:szCs w:val="21"/>
          <w:highlight w:val="none"/>
        </w:rPr>
      </w:pPr>
    </w:p>
    <w:p w14:paraId="5C243AE6">
      <w:pPr>
        <w:rPr>
          <w:rFonts w:hint="eastAsia" w:ascii="宋体" w:hAnsi="宋体" w:cs="宋体"/>
          <w:b/>
          <w:szCs w:val="21"/>
          <w:highlight w:val="none"/>
        </w:rPr>
      </w:pPr>
    </w:p>
    <w:p w14:paraId="547C050D">
      <w:pPr>
        <w:rPr>
          <w:rFonts w:hint="eastAsia" w:ascii="宋体" w:hAnsi="宋体" w:cs="宋体"/>
          <w:sz w:val="24"/>
          <w:highlight w:val="none"/>
        </w:rPr>
      </w:pPr>
    </w:p>
    <w:p w14:paraId="444C2B1D">
      <w:pPr>
        <w:spacing w:line="360" w:lineRule="auto"/>
        <w:rPr>
          <w:rFonts w:hint="eastAsia" w:ascii="宋体" w:hAnsi="宋体" w:cs="宋体"/>
          <w:sz w:val="24"/>
          <w:highlight w:val="none"/>
        </w:rPr>
      </w:pPr>
      <w:r>
        <w:rPr>
          <w:rFonts w:hint="eastAsia" w:ascii="宋体" w:hAnsi="宋体" w:cs="宋体"/>
          <w:sz w:val="24"/>
          <w:highlight w:val="none"/>
        </w:rPr>
        <w:t>附件三：</w:t>
      </w:r>
    </w:p>
    <w:p w14:paraId="00065CCE">
      <w:pPr>
        <w:widowControl/>
        <w:spacing w:line="270" w:lineRule="atLeast"/>
        <w:jc w:val="center"/>
        <w:rPr>
          <w:rFonts w:hint="eastAsia" w:ascii="宋体" w:hAnsi="宋体" w:cs="宋体"/>
          <w:b/>
          <w:kern w:val="0"/>
          <w:sz w:val="44"/>
          <w:szCs w:val="44"/>
          <w:highlight w:val="none"/>
        </w:rPr>
      </w:pPr>
      <w:r>
        <w:rPr>
          <w:rFonts w:hint="eastAsia" w:ascii="宋体" w:hAnsi="宋体" w:cs="宋体"/>
          <w:b/>
          <w:kern w:val="0"/>
          <w:sz w:val="44"/>
          <w:szCs w:val="44"/>
          <w:highlight w:val="none"/>
        </w:rPr>
        <w:t>建设工程施工安全协议书</w:t>
      </w:r>
    </w:p>
    <w:p w14:paraId="41D595A9">
      <w:pPr>
        <w:spacing w:line="420" w:lineRule="atLeast"/>
        <w:rPr>
          <w:rFonts w:hint="eastAsia" w:ascii="宋体" w:hAnsi="宋体" w:cs="宋体"/>
          <w:sz w:val="28"/>
          <w:szCs w:val="28"/>
          <w:highlight w:val="none"/>
        </w:rPr>
      </w:pPr>
    </w:p>
    <w:p w14:paraId="37D23D48">
      <w:pPr>
        <w:spacing w:line="420" w:lineRule="atLeast"/>
        <w:ind w:firstLine="120" w:firstLineChars="50"/>
        <w:rPr>
          <w:rFonts w:hint="eastAsia" w:ascii="宋体" w:hAnsi="宋体" w:cs="宋体"/>
          <w:sz w:val="24"/>
          <w:highlight w:val="none"/>
          <w:u w:val="single"/>
        </w:rPr>
      </w:pPr>
      <w:r>
        <w:rPr>
          <w:rFonts w:hint="eastAsia" w:ascii="宋体" w:hAnsi="宋体" w:cs="宋体"/>
          <w:sz w:val="24"/>
          <w:highlight w:val="none"/>
        </w:rPr>
        <w:t>发包人：</w:t>
      </w:r>
      <w:r>
        <w:rPr>
          <w:rFonts w:hint="eastAsia" w:ascii="宋体" w:hAnsi="宋体" w:cs="宋体"/>
          <w:sz w:val="24"/>
          <w:highlight w:val="none"/>
          <w:u w:val="single"/>
        </w:rPr>
        <w:t>西安高新技术产业开发区公共项目建设管理中心</w:t>
      </w:r>
    </w:p>
    <w:p w14:paraId="107B4089">
      <w:pPr>
        <w:spacing w:line="420" w:lineRule="atLeast"/>
        <w:ind w:firstLine="120" w:firstLineChars="50"/>
        <w:rPr>
          <w:rFonts w:hint="eastAsia" w:ascii="宋体" w:hAnsi="宋体" w:cs="宋体"/>
          <w:sz w:val="24"/>
          <w:highlight w:val="none"/>
        </w:rPr>
      </w:pPr>
      <w:r>
        <w:rPr>
          <w:rFonts w:hint="eastAsia" w:ascii="宋体" w:hAnsi="宋体" w:cs="宋体"/>
          <w:sz w:val="24"/>
          <w:highlight w:val="none"/>
        </w:rPr>
        <w:t>承包人：</w:t>
      </w:r>
      <w:r>
        <w:rPr>
          <w:rFonts w:hint="default" w:ascii="Times New Roman" w:hAnsi="Times New Roman" w:cs="Times New Roman"/>
          <w:color w:val="auto"/>
          <w:sz w:val="24"/>
          <w:highlight w:val="none"/>
          <w:u w:val="single"/>
          <w:lang w:val="en-US" w:eastAsia="zh-CN"/>
        </w:rPr>
        <w:t>陕西建工集团股份有限公司</w:t>
      </w:r>
    </w:p>
    <w:p w14:paraId="5299C56F">
      <w:pPr>
        <w:spacing w:line="360" w:lineRule="auto"/>
        <w:ind w:firstLine="480" w:firstLineChars="200"/>
        <w:rPr>
          <w:rFonts w:ascii="宋体" w:hAnsi="宋体" w:cs="宋体"/>
          <w:sz w:val="24"/>
          <w:highlight w:val="none"/>
        </w:rPr>
      </w:pPr>
    </w:p>
    <w:p w14:paraId="4081FCD1">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为贯彻落实“安全第一、预防为主、综合治理”的安全生产方针，加强建设工程安全管理，促进安全文明施工，减少伤亡事故的发生，依照《安全生产法》、《建设工程安全生产管理条例》等有关规定，在平等、自愿的原则下，签订本协议。</w:t>
      </w:r>
    </w:p>
    <w:p w14:paraId="2F2708B6">
      <w:pPr>
        <w:spacing w:line="360" w:lineRule="auto"/>
        <w:rPr>
          <w:rFonts w:hint="eastAsia" w:ascii="宋体" w:hAnsi="宋体" w:cs="宋体"/>
          <w:b/>
          <w:bCs/>
          <w:sz w:val="24"/>
          <w:highlight w:val="none"/>
        </w:rPr>
      </w:pPr>
      <w:r>
        <w:rPr>
          <w:rFonts w:hint="eastAsia" w:ascii="宋体" w:hAnsi="宋体" w:cs="宋体"/>
          <w:b/>
          <w:bCs/>
          <w:sz w:val="24"/>
          <w:highlight w:val="none"/>
        </w:rPr>
        <w:t>一、发包人的权利、义务：</w:t>
      </w:r>
    </w:p>
    <w:p w14:paraId="22BBC44D">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1.严格遵守《安全生产法》、《建设工程安全生产管理条例》等有关安全生产法律法规，传达、落实上级相关安全生产文件和要求，并对建设工程安全生产工作落实情况进行监督、检查；</w:t>
      </w:r>
    </w:p>
    <w:p w14:paraId="3EC0D7AA">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2.严格审查承包人资质、人员资格；</w:t>
      </w:r>
    </w:p>
    <w:p w14:paraId="28CA8424">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3.全面负责施工现场安全文明施工，对发现的安全生产问题、事故隐患有权进行批评、教育、纠正；不得因追求工程进度，强令承包人冒险作业；  </w:t>
      </w:r>
    </w:p>
    <w:p w14:paraId="4DFF9C1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4.接到承包人施工现场安全生产事故报告的，应当及时向有关行政单位、部门报告，并启动事故应急预案，采取应急处置措施，协助承包人处理事故善后赔偿事宜。</w:t>
      </w:r>
    </w:p>
    <w:p w14:paraId="685E12DF">
      <w:pPr>
        <w:spacing w:line="360" w:lineRule="auto"/>
        <w:rPr>
          <w:rFonts w:hint="eastAsia" w:ascii="宋体" w:hAnsi="宋体" w:cs="宋体"/>
          <w:b/>
          <w:bCs/>
          <w:sz w:val="24"/>
          <w:highlight w:val="none"/>
        </w:rPr>
      </w:pPr>
      <w:r>
        <w:rPr>
          <w:rFonts w:hint="eastAsia" w:ascii="宋体" w:hAnsi="宋体" w:cs="宋体"/>
          <w:b/>
          <w:bCs/>
          <w:sz w:val="24"/>
          <w:highlight w:val="none"/>
        </w:rPr>
        <w:t>二、承包人的权利、义务：</w:t>
      </w:r>
    </w:p>
    <w:p w14:paraId="107ABF07">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1.严格遵守《安全生产法》、《建设工程安全生产管理条例》等有关安全生产法律法规，严格执行发包人制定的各项安全生产规章制度；</w:t>
      </w:r>
    </w:p>
    <w:p w14:paraId="243B1A2D">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2.对施工现场的安全生产负总责，确保安全生产费用的有效使用；</w:t>
      </w:r>
    </w:p>
    <w:p w14:paraId="25A7C5C1">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3.建立项目安全生产责任制，制定项目安全生产规章制度和操作规程；</w:t>
      </w:r>
    </w:p>
    <w:p w14:paraId="1974759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4.设立项目安全生产管理机构，按要求配备专职安全生产管理人员；</w:t>
      </w:r>
    </w:p>
    <w:p w14:paraId="625DA710">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5.严格落实安全生产教育培训制度、安全技术交底制度、安全生产检查制度、隐患排查治理制度，提升员工安全生产意识，提高员工安全操作技能；</w:t>
      </w:r>
    </w:p>
    <w:p w14:paraId="72EB9EA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6.严格机械设备、施工机具进场验收，并定期进行检查、维护和保养；</w:t>
      </w:r>
    </w:p>
    <w:p w14:paraId="717EB39E">
      <w:pPr>
        <w:spacing w:line="360" w:lineRule="auto"/>
        <w:ind w:firstLine="360" w:firstLineChars="150"/>
        <w:rPr>
          <w:rFonts w:hint="eastAsia" w:ascii="宋体" w:hAnsi="宋体" w:cs="宋体"/>
          <w:sz w:val="24"/>
          <w:highlight w:val="none"/>
        </w:rPr>
      </w:pPr>
      <w:r>
        <w:rPr>
          <w:rFonts w:hint="eastAsia" w:ascii="宋体" w:hAnsi="宋体" w:cs="宋体"/>
          <w:sz w:val="24"/>
          <w:highlight w:val="none"/>
        </w:rPr>
        <w:t xml:space="preserve"> 7.对危险性较大的分部分项工程编制专项施工方案，并严格落实各项安全保障措施；</w:t>
      </w:r>
    </w:p>
    <w:p w14:paraId="4065B8AC">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8.在施工现场危险部位设置安全警示标志。保证安全通道、消防通道的畅通；</w:t>
      </w:r>
    </w:p>
    <w:p w14:paraId="3FA0FFDB">
      <w:pPr>
        <w:spacing w:line="360" w:lineRule="auto"/>
        <w:ind w:firstLine="480" w:firstLineChars="200"/>
        <w:rPr>
          <w:rFonts w:hint="eastAsia" w:ascii="宋体" w:hAnsi="宋体" w:cs="宋体"/>
          <w:highlight w:val="none"/>
        </w:rPr>
      </w:pPr>
      <w:r>
        <w:rPr>
          <w:rFonts w:hint="eastAsia" w:ascii="宋体" w:hAnsi="宋体" w:cs="宋体"/>
          <w:sz w:val="24"/>
          <w:highlight w:val="none"/>
        </w:rPr>
        <w:t>9.对因建设工程施工可能造成损害的毗邻建筑物、构筑物和地下管线等，应当采取专项保护措施，且施工时应当派专人负责现场监管；</w:t>
      </w:r>
    </w:p>
    <w:p w14:paraId="18627B5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10.及时消除现场存在的安全事故隐患，提高现场安全管理水平；</w:t>
      </w:r>
    </w:p>
    <w:p w14:paraId="0DD907FA">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11.对第三方在其施工现场发生伤亡事故的，除依法由第三方承担责任以外，均由承包人承担相应的行政责任、民事责任；</w:t>
      </w:r>
    </w:p>
    <w:p w14:paraId="2CA605F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12.事故发生后，应在第一时间内向发包人、有关行政机关报告事故情况，并启动应急预案，采取应急处置措施。</w:t>
      </w:r>
    </w:p>
    <w:p w14:paraId="3CE159BA">
      <w:pPr>
        <w:spacing w:line="360" w:lineRule="auto"/>
        <w:rPr>
          <w:rFonts w:hint="eastAsia" w:ascii="宋体" w:hAnsi="宋体" w:cs="宋体"/>
          <w:b/>
          <w:bCs/>
          <w:sz w:val="24"/>
          <w:highlight w:val="none"/>
        </w:rPr>
      </w:pPr>
      <w:r>
        <w:rPr>
          <w:rFonts w:hint="eastAsia" w:ascii="宋体" w:hAnsi="宋体" w:cs="宋体"/>
          <w:b/>
          <w:bCs/>
          <w:sz w:val="24"/>
          <w:highlight w:val="none"/>
        </w:rPr>
        <w:t>三、违约责任：</w:t>
      </w:r>
    </w:p>
    <w:p w14:paraId="7632303B">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1.发包人未履行协议第一条第4款约定，未启动应急预案，采取应急处置措施，导致事故损失扩大的，对扩大部分承担赔偿责任；</w:t>
      </w:r>
    </w:p>
    <w:p w14:paraId="47D8457B">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承包人未履行本协议第二条第2款--第10款约定，导致发生生产安全事故的，承担生产安全事故的全部责任；因安全生产事故致使发包人受到有关行政管理部门经济处罚的，行政责任由发包人承担，行政罚款、经济损失赔偿由承包人承担。赔偿范围：包括但不限于发包人已承担的罚款、赔偿费用、事故调查费用、向受害人支付的医疗费用、诉讼费、律师代理费等；</w:t>
      </w:r>
    </w:p>
    <w:p w14:paraId="6D877BB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3.承包人未履行本协议第二条第9款约定，造成市政设施、设备破坏、发生断电、水、气等引起公众不安定事件的，应当承担全面责任；</w:t>
      </w:r>
    </w:p>
    <w:p w14:paraId="65EF7CC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4.承包人未履行本协议第二条第12款约定，导致生产安全事故瞒报、漏报，行政机关对发包人作出瞒报、漏报认定、进行行政处罚的，罚款部分由承包人承担。</w:t>
      </w:r>
    </w:p>
    <w:p w14:paraId="393411E8">
      <w:pPr>
        <w:spacing w:line="360" w:lineRule="auto"/>
        <w:rPr>
          <w:rFonts w:hint="eastAsia" w:ascii="宋体" w:hAnsi="宋体" w:cs="宋体"/>
          <w:b/>
          <w:bCs/>
          <w:sz w:val="24"/>
          <w:highlight w:val="none"/>
        </w:rPr>
      </w:pPr>
      <w:r>
        <w:rPr>
          <w:rFonts w:hint="eastAsia" w:ascii="宋体" w:hAnsi="宋体" w:cs="宋体"/>
          <w:b/>
          <w:bCs/>
          <w:sz w:val="24"/>
          <w:highlight w:val="none"/>
        </w:rPr>
        <w:t>四、附则。</w:t>
      </w:r>
    </w:p>
    <w:p w14:paraId="74BEFE7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本协议为 </w:t>
      </w:r>
      <w:r>
        <w:rPr>
          <w:rFonts w:hint="eastAsia" w:ascii="宋体" w:hAnsi="宋体" w:cs="宋体"/>
          <w:sz w:val="24"/>
          <w:szCs w:val="24"/>
          <w:highlight w:val="none"/>
          <w:u w:val="single"/>
          <w:lang w:eastAsia="zh-CN"/>
        </w:rPr>
        <w:t>韦斗大道（纬二十路）（经四十路—造字台路）道路工程EPC工程总承包</w:t>
      </w:r>
      <w:r>
        <w:rPr>
          <w:rFonts w:hint="eastAsia" w:ascii="宋体" w:hAnsi="宋体" w:cs="宋体"/>
          <w:sz w:val="24"/>
          <w:highlight w:val="none"/>
          <w:u w:val="single"/>
        </w:rPr>
        <w:t xml:space="preserve"> </w:t>
      </w:r>
      <w:r>
        <w:rPr>
          <w:rFonts w:hint="eastAsia" w:ascii="宋体" w:hAnsi="宋体" w:cs="宋体"/>
          <w:sz w:val="24"/>
          <w:highlight w:val="none"/>
        </w:rPr>
        <w:t>合同组成部分，与施工合同具有同等法律效力，施工合同内容与本协议内容不一致时以本协议为准。</w:t>
      </w:r>
    </w:p>
    <w:p w14:paraId="513EA3A7">
      <w:pPr>
        <w:spacing w:line="420" w:lineRule="atLeast"/>
        <w:ind w:firstLine="480" w:firstLineChars="200"/>
        <w:rPr>
          <w:rFonts w:hint="eastAsia" w:ascii="宋体" w:hAnsi="宋体" w:cs="宋体"/>
          <w:sz w:val="24"/>
          <w:highlight w:val="none"/>
        </w:rPr>
      </w:pPr>
      <w:r>
        <w:rPr>
          <w:rFonts w:hint="eastAsia" w:ascii="宋体" w:hAnsi="宋体" w:cs="宋体"/>
          <w:sz w:val="24"/>
          <w:highlight w:val="none"/>
        </w:rPr>
        <w:t>本协议自签字盖章之日起生效，工程竣工、完成交付后自行解除。</w:t>
      </w:r>
    </w:p>
    <w:tbl>
      <w:tblPr>
        <w:tblStyle w:val="14"/>
        <w:tblpPr w:leftFromText="180" w:rightFromText="180" w:vertAnchor="text" w:horzAnchor="page" w:tblpXSpec="center" w:tblpY="380"/>
        <w:tblOverlap w:val="never"/>
        <w:tblW w:w="8679" w:type="dxa"/>
        <w:jc w:val="center"/>
        <w:tblLayout w:type="fixed"/>
        <w:tblCellMar>
          <w:top w:w="0" w:type="dxa"/>
          <w:left w:w="108" w:type="dxa"/>
          <w:bottom w:w="0" w:type="dxa"/>
          <w:right w:w="108" w:type="dxa"/>
        </w:tblCellMar>
      </w:tblPr>
      <w:tblGrid>
        <w:gridCol w:w="4312"/>
        <w:gridCol w:w="4367"/>
      </w:tblGrid>
      <w:tr w14:paraId="7B8FC053">
        <w:tblPrEx>
          <w:tblCellMar>
            <w:top w:w="0" w:type="dxa"/>
            <w:left w:w="108" w:type="dxa"/>
            <w:bottom w:w="0" w:type="dxa"/>
            <w:right w:w="108" w:type="dxa"/>
          </w:tblCellMar>
        </w:tblPrEx>
        <w:trPr>
          <w:trHeight w:val="1247" w:hRule="atLeast"/>
          <w:jc w:val="center"/>
        </w:trPr>
        <w:tc>
          <w:tcPr>
            <w:tcW w:w="4312" w:type="dxa"/>
            <w:noWrap w:val="0"/>
            <w:vAlign w:val="center"/>
          </w:tcPr>
          <w:p w14:paraId="4B3FEF25">
            <w:pPr>
              <w:spacing w:line="440" w:lineRule="exact"/>
              <w:rPr>
                <w:rFonts w:hint="eastAsia" w:ascii="宋体" w:hAnsi="宋体" w:cs="宋体"/>
                <w:sz w:val="24"/>
                <w:szCs w:val="24"/>
                <w:highlight w:val="none"/>
              </w:rPr>
            </w:pPr>
            <w:r>
              <w:rPr>
                <w:rFonts w:hint="eastAsia" w:ascii="宋体" w:hAnsi="宋体" w:cs="宋体"/>
                <w:sz w:val="24"/>
                <w:szCs w:val="24"/>
                <w:highlight w:val="none"/>
                <w:lang w:val="en-US" w:eastAsia="zh-CN"/>
              </w:rPr>
              <w:t>发包人</w:t>
            </w:r>
            <w:r>
              <w:rPr>
                <w:rFonts w:hint="eastAsia" w:ascii="宋体" w:hAnsi="宋体" w:cs="宋体"/>
                <w:sz w:val="24"/>
                <w:szCs w:val="24"/>
                <w:highlight w:val="none"/>
              </w:rPr>
              <w:t>：</w:t>
            </w:r>
            <w:r>
              <w:rPr>
                <w:rFonts w:hint="eastAsia" w:ascii="宋体" w:hAnsi="宋体" w:cs="宋体"/>
                <w:sz w:val="24"/>
                <w:szCs w:val="24"/>
                <w:highlight w:val="none"/>
                <w:u w:val="single"/>
              </w:rPr>
              <w:t>西安高新技术产业开发区公共项目建设管理中心（</w:t>
            </w:r>
            <w:r>
              <w:rPr>
                <w:rFonts w:hint="eastAsia" w:ascii="宋体" w:hAnsi="宋体" w:cs="宋体"/>
                <w:sz w:val="24"/>
                <w:szCs w:val="24"/>
                <w:highlight w:val="none"/>
              </w:rPr>
              <w:t>盖章）</w:t>
            </w:r>
          </w:p>
          <w:p w14:paraId="0A6DE257">
            <w:pPr>
              <w:pStyle w:val="17"/>
              <w:framePr w:hSpace="0" w:wrap="auto" w:vAnchor="margin" w:hAnchor="text" w:yAlign="inline"/>
              <w:rPr>
                <w:rFonts w:hint="eastAsia" w:hAnsi="宋体" w:cs="宋体"/>
                <w:szCs w:val="24"/>
                <w:highlight w:val="none"/>
              </w:rPr>
            </w:pPr>
          </w:p>
        </w:tc>
        <w:tc>
          <w:tcPr>
            <w:tcW w:w="4367" w:type="dxa"/>
            <w:noWrap w:val="0"/>
            <w:vAlign w:val="center"/>
          </w:tcPr>
          <w:p w14:paraId="5C7D3AE3">
            <w:pPr>
              <w:spacing w:line="440" w:lineRule="exact"/>
              <w:rPr>
                <w:rFonts w:hint="eastAsia" w:ascii="宋体" w:hAnsi="宋体" w:cs="宋体"/>
                <w:sz w:val="24"/>
                <w:szCs w:val="24"/>
                <w:highlight w:val="none"/>
              </w:rPr>
            </w:pPr>
            <w:r>
              <w:rPr>
                <w:rFonts w:hint="eastAsia" w:ascii="宋体" w:hAnsi="宋体" w:cs="宋体"/>
                <w:sz w:val="24"/>
                <w:szCs w:val="24"/>
                <w:highlight w:val="none"/>
                <w:lang w:val="en-US" w:eastAsia="zh-CN"/>
              </w:rPr>
              <w:t>承包人</w:t>
            </w:r>
            <w:r>
              <w:rPr>
                <w:rFonts w:hint="eastAsia" w:ascii="宋体" w:hAnsi="宋体" w:cs="宋体"/>
                <w:sz w:val="24"/>
                <w:szCs w:val="24"/>
                <w:highlight w:val="none"/>
              </w:rPr>
              <w:t>：</w:t>
            </w:r>
            <w:r>
              <w:rPr>
                <w:rFonts w:hint="default" w:ascii="Times New Roman" w:hAnsi="Times New Roman" w:cs="Times New Roman"/>
                <w:color w:val="auto"/>
                <w:sz w:val="24"/>
                <w:szCs w:val="24"/>
                <w:highlight w:val="none"/>
                <w:u w:val="single"/>
              </w:rPr>
              <w:t>陕西建工集团股份有限公</w:t>
            </w:r>
            <w:r>
              <w:rPr>
                <w:rFonts w:hint="eastAsia" w:ascii="宋体" w:hAnsi="宋体" w:cs="宋体"/>
                <w:sz w:val="24"/>
                <w:szCs w:val="24"/>
                <w:highlight w:val="none"/>
              </w:rPr>
              <w:t>（盖章）</w:t>
            </w:r>
          </w:p>
          <w:p w14:paraId="08CA198C">
            <w:pPr>
              <w:pStyle w:val="17"/>
              <w:framePr w:hSpace="0" w:wrap="auto" w:vAnchor="margin" w:hAnchor="text" w:yAlign="inline"/>
              <w:rPr>
                <w:rFonts w:hint="eastAsia" w:hAnsi="宋体" w:eastAsia="宋体" w:cs="宋体"/>
                <w:szCs w:val="24"/>
                <w:highlight w:val="none"/>
                <w:lang w:val="en-US" w:eastAsia="zh-CN"/>
              </w:rPr>
            </w:pPr>
            <w:r>
              <w:rPr>
                <w:rFonts w:hint="eastAsia" w:hAnsi="宋体" w:cs="宋体"/>
                <w:szCs w:val="24"/>
                <w:highlight w:val="none"/>
                <w:lang w:val="en-US" w:eastAsia="zh-CN"/>
              </w:rPr>
              <w:t xml:space="preserve"> </w:t>
            </w:r>
          </w:p>
        </w:tc>
      </w:tr>
      <w:tr w14:paraId="19B6D9DB">
        <w:tblPrEx>
          <w:tblCellMar>
            <w:top w:w="0" w:type="dxa"/>
            <w:left w:w="108" w:type="dxa"/>
            <w:bottom w:w="0" w:type="dxa"/>
            <w:right w:w="108" w:type="dxa"/>
          </w:tblCellMar>
        </w:tblPrEx>
        <w:trPr>
          <w:trHeight w:val="961" w:hRule="atLeast"/>
          <w:jc w:val="center"/>
        </w:trPr>
        <w:tc>
          <w:tcPr>
            <w:tcW w:w="4312" w:type="dxa"/>
            <w:noWrap w:val="0"/>
            <w:vAlign w:val="center"/>
          </w:tcPr>
          <w:p w14:paraId="622D7821">
            <w:pPr>
              <w:pStyle w:val="17"/>
              <w:framePr w:hSpace="0" w:wrap="auto" w:vAnchor="margin" w:hAnchor="text" w:yAlign="inline"/>
              <w:rPr>
                <w:rFonts w:hint="eastAsia" w:hAnsi="宋体" w:cs="宋体"/>
                <w:szCs w:val="24"/>
                <w:highlight w:val="none"/>
              </w:rPr>
            </w:pPr>
            <w:r>
              <w:rPr>
                <w:rFonts w:hint="eastAsia" w:hAnsi="宋体" w:cs="宋体"/>
                <w:szCs w:val="24"/>
                <w:highlight w:val="none"/>
              </w:rPr>
              <w:t>法定代表人</w:t>
            </w:r>
          </w:p>
          <w:p w14:paraId="1919102F">
            <w:pPr>
              <w:pStyle w:val="17"/>
              <w:framePr w:hSpace="0" w:wrap="auto" w:vAnchor="margin" w:hAnchor="text" w:yAlign="inline"/>
              <w:rPr>
                <w:rFonts w:hint="eastAsia" w:hAnsi="宋体" w:cs="宋体"/>
                <w:szCs w:val="24"/>
                <w:highlight w:val="none"/>
              </w:rPr>
            </w:pPr>
            <w:r>
              <w:rPr>
                <w:rFonts w:hint="eastAsia" w:hAnsi="宋体" w:cs="宋体"/>
                <w:szCs w:val="24"/>
                <w:highlight w:val="none"/>
              </w:rPr>
              <w:t>或委托代理人：     （签字或盖章）</w:t>
            </w:r>
          </w:p>
          <w:p w14:paraId="3D6C6A3C">
            <w:pPr>
              <w:pStyle w:val="17"/>
              <w:framePr w:hSpace="0" w:wrap="auto" w:vAnchor="margin" w:hAnchor="text" w:yAlign="inline"/>
              <w:rPr>
                <w:rFonts w:hint="eastAsia" w:hAnsi="宋体" w:cs="宋体"/>
                <w:szCs w:val="24"/>
                <w:highlight w:val="none"/>
              </w:rPr>
            </w:pPr>
          </w:p>
        </w:tc>
        <w:tc>
          <w:tcPr>
            <w:tcW w:w="4367" w:type="dxa"/>
            <w:noWrap w:val="0"/>
            <w:vAlign w:val="center"/>
          </w:tcPr>
          <w:p w14:paraId="1E45B178">
            <w:pPr>
              <w:pStyle w:val="17"/>
              <w:framePr w:hSpace="0" w:wrap="auto" w:vAnchor="margin" w:hAnchor="text" w:yAlign="inline"/>
              <w:rPr>
                <w:rFonts w:hint="eastAsia" w:hAnsi="宋体" w:cs="宋体"/>
                <w:szCs w:val="24"/>
                <w:highlight w:val="none"/>
              </w:rPr>
            </w:pPr>
            <w:r>
              <w:rPr>
                <w:rFonts w:hint="eastAsia" w:hAnsi="宋体" w:cs="宋体"/>
                <w:szCs w:val="24"/>
                <w:highlight w:val="none"/>
              </w:rPr>
              <w:t>法定代表人</w:t>
            </w:r>
          </w:p>
          <w:p w14:paraId="092DAE11">
            <w:pPr>
              <w:pStyle w:val="17"/>
              <w:framePr w:hSpace="0" w:wrap="auto" w:vAnchor="margin" w:hAnchor="text" w:yAlign="inline"/>
              <w:rPr>
                <w:rFonts w:hint="eastAsia" w:hAnsi="宋体" w:cs="宋体"/>
                <w:szCs w:val="24"/>
                <w:highlight w:val="none"/>
              </w:rPr>
            </w:pPr>
            <w:r>
              <w:rPr>
                <w:rFonts w:hint="eastAsia" w:hAnsi="宋体" w:cs="宋体"/>
                <w:szCs w:val="24"/>
                <w:highlight w:val="none"/>
              </w:rPr>
              <w:t>或委托代理人：     （签字或盖章）</w:t>
            </w:r>
          </w:p>
          <w:p w14:paraId="77B9A526">
            <w:pPr>
              <w:pStyle w:val="17"/>
              <w:framePr w:hSpace="0" w:wrap="auto" w:vAnchor="margin" w:hAnchor="text" w:yAlign="inline"/>
              <w:rPr>
                <w:rFonts w:hint="eastAsia" w:hAnsi="宋体" w:cs="宋体"/>
                <w:szCs w:val="24"/>
                <w:highlight w:val="none"/>
              </w:rPr>
            </w:pPr>
          </w:p>
        </w:tc>
      </w:tr>
      <w:tr w14:paraId="2C76E1E9">
        <w:tblPrEx>
          <w:tblCellMar>
            <w:top w:w="0" w:type="dxa"/>
            <w:left w:w="108" w:type="dxa"/>
            <w:bottom w:w="0" w:type="dxa"/>
            <w:right w:w="108" w:type="dxa"/>
          </w:tblCellMar>
        </w:tblPrEx>
        <w:trPr>
          <w:trHeight w:val="920" w:hRule="atLeast"/>
          <w:jc w:val="center"/>
        </w:trPr>
        <w:tc>
          <w:tcPr>
            <w:tcW w:w="4312" w:type="dxa"/>
            <w:noWrap w:val="0"/>
            <w:vAlign w:val="center"/>
          </w:tcPr>
          <w:p w14:paraId="7E93D5E0">
            <w:pPr>
              <w:pStyle w:val="17"/>
              <w:framePr w:hSpace="0" w:wrap="auto" w:vAnchor="margin" w:hAnchor="text" w:yAlign="inline"/>
              <w:rPr>
                <w:rFonts w:hint="eastAsia" w:hAnsi="宋体" w:cs="宋体"/>
                <w:szCs w:val="24"/>
                <w:highlight w:val="none"/>
              </w:rPr>
            </w:pPr>
            <w:r>
              <w:rPr>
                <w:rFonts w:hint="eastAsia" w:hAnsi="宋体" w:cs="宋体"/>
                <w:szCs w:val="24"/>
                <w:highlight w:val="none"/>
              </w:rPr>
              <w:t>签订日期：</w:t>
            </w:r>
          </w:p>
        </w:tc>
        <w:tc>
          <w:tcPr>
            <w:tcW w:w="4367" w:type="dxa"/>
            <w:noWrap w:val="0"/>
            <w:vAlign w:val="center"/>
          </w:tcPr>
          <w:p w14:paraId="08A6C5A8">
            <w:pPr>
              <w:pStyle w:val="17"/>
              <w:framePr w:hSpace="0" w:wrap="auto" w:vAnchor="margin" w:hAnchor="text" w:yAlign="inline"/>
              <w:rPr>
                <w:rFonts w:hint="eastAsia" w:hAnsi="宋体" w:cs="宋体"/>
                <w:szCs w:val="24"/>
                <w:highlight w:val="none"/>
              </w:rPr>
            </w:pPr>
            <w:r>
              <w:rPr>
                <w:rFonts w:hint="eastAsia" w:hAnsi="宋体" w:cs="宋体"/>
                <w:szCs w:val="24"/>
                <w:highlight w:val="none"/>
              </w:rPr>
              <w:t>签订日期：</w:t>
            </w:r>
          </w:p>
        </w:tc>
      </w:tr>
    </w:tbl>
    <w:p w14:paraId="71472C44">
      <w:pPr>
        <w:spacing w:line="360" w:lineRule="auto"/>
        <w:rPr>
          <w:rFonts w:hint="eastAsia" w:ascii="宋体" w:hAnsi="宋体" w:cs="宋体"/>
          <w:sz w:val="24"/>
          <w:highlight w:val="none"/>
        </w:rPr>
      </w:pPr>
    </w:p>
    <w:p w14:paraId="4E60F31F">
      <w:pPr>
        <w:spacing w:line="360" w:lineRule="auto"/>
        <w:rPr>
          <w:rFonts w:hint="eastAsia" w:ascii="宋体" w:hAnsi="宋体" w:cs="宋体"/>
          <w:sz w:val="24"/>
          <w:highlight w:val="none"/>
        </w:rPr>
      </w:pPr>
    </w:p>
    <w:p w14:paraId="46F52F2C">
      <w:pPr>
        <w:spacing w:line="360" w:lineRule="auto"/>
        <w:rPr>
          <w:rFonts w:hint="eastAsia" w:ascii="宋体" w:hAnsi="宋体" w:cs="宋体"/>
          <w:sz w:val="24"/>
          <w:highlight w:val="none"/>
        </w:rPr>
      </w:pPr>
    </w:p>
    <w:p w14:paraId="3EBAF3FF">
      <w:pPr>
        <w:spacing w:line="360" w:lineRule="auto"/>
        <w:rPr>
          <w:rFonts w:hint="eastAsia" w:ascii="宋体" w:hAnsi="宋体" w:cs="宋体"/>
          <w:sz w:val="24"/>
          <w:highlight w:val="none"/>
        </w:rPr>
      </w:pPr>
    </w:p>
    <w:p w14:paraId="0CDA11D4">
      <w:pPr>
        <w:spacing w:line="360" w:lineRule="auto"/>
        <w:rPr>
          <w:rFonts w:hint="eastAsia" w:ascii="宋体" w:hAnsi="宋体" w:cs="宋体"/>
          <w:sz w:val="24"/>
          <w:highlight w:val="none"/>
        </w:rPr>
      </w:pPr>
    </w:p>
    <w:p w14:paraId="1E386C63">
      <w:pPr>
        <w:spacing w:line="360" w:lineRule="auto"/>
        <w:rPr>
          <w:rFonts w:hint="eastAsia" w:ascii="宋体" w:hAnsi="宋体" w:cs="宋体"/>
          <w:sz w:val="24"/>
          <w:highlight w:val="none"/>
        </w:rPr>
      </w:pPr>
    </w:p>
    <w:p w14:paraId="18B152B9">
      <w:pPr>
        <w:spacing w:line="360" w:lineRule="auto"/>
        <w:rPr>
          <w:rFonts w:hint="eastAsia" w:ascii="宋体" w:hAnsi="宋体" w:cs="宋体"/>
          <w:sz w:val="24"/>
          <w:highlight w:val="none"/>
        </w:rPr>
      </w:pPr>
    </w:p>
    <w:p w14:paraId="55BD1E16">
      <w:pPr>
        <w:spacing w:line="360" w:lineRule="auto"/>
        <w:rPr>
          <w:rFonts w:hint="eastAsia" w:ascii="宋体" w:hAnsi="宋体" w:cs="宋体"/>
          <w:sz w:val="24"/>
          <w:highlight w:val="none"/>
        </w:rPr>
      </w:pPr>
    </w:p>
    <w:p w14:paraId="5372D416">
      <w:pPr>
        <w:spacing w:line="360" w:lineRule="auto"/>
        <w:rPr>
          <w:rFonts w:hint="eastAsia" w:ascii="宋体" w:hAnsi="宋体" w:cs="宋体"/>
          <w:sz w:val="24"/>
          <w:highlight w:val="none"/>
        </w:rPr>
      </w:pPr>
      <w:r>
        <w:rPr>
          <w:rFonts w:hint="eastAsia" w:ascii="宋体" w:hAnsi="宋体" w:cs="宋体"/>
          <w:sz w:val="24"/>
          <w:highlight w:val="none"/>
        </w:rPr>
        <w:t>附件四：</w:t>
      </w:r>
    </w:p>
    <w:p w14:paraId="334208DD">
      <w:pPr>
        <w:pStyle w:val="7"/>
        <w:rPr>
          <w:rFonts w:hint="eastAsia"/>
          <w:highlight w:val="none"/>
        </w:rPr>
      </w:pPr>
    </w:p>
    <w:p w14:paraId="480EFC66">
      <w:pPr>
        <w:widowControl/>
        <w:spacing w:line="270" w:lineRule="atLeast"/>
        <w:jc w:val="center"/>
        <w:rPr>
          <w:rFonts w:hint="eastAsia" w:ascii="宋体" w:hAnsi="宋体" w:cs="宋体"/>
          <w:sz w:val="44"/>
          <w:szCs w:val="44"/>
          <w:highlight w:val="none"/>
        </w:rPr>
      </w:pPr>
      <w:r>
        <w:rPr>
          <w:rFonts w:hint="eastAsia" w:ascii="宋体" w:hAnsi="宋体" w:cs="宋体"/>
          <w:b/>
          <w:kern w:val="0"/>
          <w:sz w:val="44"/>
          <w:szCs w:val="44"/>
          <w:highlight w:val="none"/>
        </w:rPr>
        <w:t>安全、质量、扬尘污染防治承诺书</w:t>
      </w:r>
    </w:p>
    <w:p w14:paraId="0F825B92">
      <w:pPr>
        <w:spacing w:line="360" w:lineRule="auto"/>
        <w:ind w:firstLine="480" w:firstLineChars="200"/>
        <w:rPr>
          <w:rFonts w:hint="eastAsia" w:ascii="宋体" w:hAnsi="宋体" w:cs="宋体"/>
          <w:sz w:val="24"/>
          <w:highlight w:val="none"/>
        </w:rPr>
      </w:pPr>
    </w:p>
    <w:p w14:paraId="754FD38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我是</w:t>
      </w:r>
      <w:r>
        <w:rPr>
          <w:rFonts w:hint="eastAsia" w:ascii="宋体" w:hAnsi="宋体" w:cs="宋体"/>
          <w:sz w:val="24"/>
          <w:highlight w:val="none"/>
          <w:u w:val="single"/>
        </w:rPr>
        <w:t xml:space="preserve"> </w:t>
      </w:r>
      <w:r>
        <w:rPr>
          <w:rFonts w:hint="default" w:ascii="Times New Roman" w:hAnsi="Times New Roman" w:cs="Times New Roman"/>
          <w:color w:val="auto"/>
          <w:sz w:val="24"/>
          <w:highlight w:val="none"/>
          <w:u w:val="single"/>
        </w:rPr>
        <w:t>陕西建工集团股份有限公司</w:t>
      </w:r>
      <w:r>
        <w:rPr>
          <w:rFonts w:hint="eastAsia" w:ascii="宋体" w:hAnsi="宋体" w:cs="宋体"/>
          <w:sz w:val="24"/>
          <w:highlight w:val="none"/>
          <w:u w:val="single"/>
        </w:rPr>
        <w:t xml:space="preserve"> </w:t>
      </w:r>
      <w:r>
        <w:rPr>
          <w:rFonts w:hint="eastAsia" w:ascii="宋体" w:hAnsi="宋体" w:cs="宋体"/>
          <w:sz w:val="24"/>
          <w:highlight w:val="none"/>
        </w:rPr>
        <w:t>法人代表（或法人委托代理人）</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陈琦</w:t>
      </w:r>
      <w:r>
        <w:rPr>
          <w:rFonts w:hint="eastAsia" w:ascii="宋体" w:hAnsi="宋体" w:cs="宋体"/>
          <w:sz w:val="24"/>
          <w:highlight w:val="none"/>
          <w:u w:val="single"/>
        </w:rPr>
        <w:t xml:space="preserve"> </w:t>
      </w:r>
      <w:r>
        <w:rPr>
          <w:rFonts w:hint="eastAsia" w:ascii="宋体" w:hAnsi="宋体" w:cs="宋体"/>
          <w:sz w:val="24"/>
          <w:highlight w:val="none"/>
        </w:rPr>
        <w:t>，就该项目的安全、质量、治污减霾管理工作，我代表本公司承诺并声明以下内容：</w:t>
      </w:r>
    </w:p>
    <w:p w14:paraId="24610A90">
      <w:pPr>
        <w:widowControl/>
        <w:spacing w:line="360" w:lineRule="auto"/>
        <w:rPr>
          <w:rFonts w:hint="eastAsia" w:ascii="宋体" w:hAnsi="宋体" w:cs="宋体"/>
          <w:b/>
          <w:sz w:val="24"/>
          <w:highlight w:val="none"/>
        </w:rPr>
      </w:pPr>
      <w:r>
        <w:rPr>
          <w:rFonts w:hint="eastAsia" w:ascii="宋体" w:hAnsi="宋体" w:cs="宋体"/>
          <w:b/>
          <w:sz w:val="24"/>
          <w:highlight w:val="none"/>
        </w:rPr>
        <w:t>一、安全承诺书</w:t>
      </w:r>
    </w:p>
    <w:p w14:paraId="479D0E1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（一）我们已经深刻了解了贵单位对该项目的安全生产要求，并充分认识到该项目在实施过程中存在的各种危险因素和所有安全生产方面的问题，清醒地认识到抓好安全生产管理工作的紧迫性和必要性。</w:t>
      </w:r>
    </w:p>
    <w:p w14:paraId="4BC03A2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（二）我们已经</w:t>
      </w:r>
    </w:p>
    <w:p w14:paraId="219B795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1.按规定配备了专职安全员、专职治污减霾员，并保证常驻现场；</w:t>
      </w:r>
    </w:p>
    <w:p w14:paraId="056A5E6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2.建立了该项目的安全生产管理工作计划、安全生产管理目标；</w:t>
      </w:r>
    </w:p>
    <w:p w14:paraId="2999034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3.成立了以项目经理为组长的安全生产领导小组，并逐级签订了安全生产目标责任书；</w:t>
      </w:r>
    </w:p>
    <w:p w14:paraId="2F32E117">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4.制定了人员安全生产职责；</w:t>
      </w:r>
    </w:p>
    <w:p w14:paraId="3DE518FB">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5.制定了各项安全管理制度（包括：安全教育培训制度、安全生产费用管理制度、安全生产检查制度、安全技术交底制度、安全生产会议制度、生产安全事故管理制度等）；</w:t>
      </w:r>
    </w:p>
    <w:p w14:paraId="259C80D3">
      <w:pPr>
        <w:pStyle w:val="7"/>
        <w:rPr>
          <w:rFonts w:hint="eastAsia"/>
          <w:sz w:val="24"/>
          <w:highlight w:val="none"/>
        </w:rPr>
      </w:pPr>
      <w:r>
        <w:rPr>
          <w:rFonts w:hint="eastAsia"/>
          <w:sz w:val="24"/>
          <w:highlight w:val="none"/>
        </w:rPr>
        <w:t xml:space="preserve">    6.制定了各项安全操作规程；</w:t>
      </w:r>
    </w:p>
    <w:p w14:paraId="0263302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7.制定了施工过程中的各项安全保障措施；</w:t>
      </w:r>
    </w:p>
    <w:p w14:paraId="402A0BEA">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8.制定了切实可行的事故应急预案。</w:t>
      </w:r>
    </w:p>
    <w:p w14:paraId="5E9A312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（三）我们将给所有进场施工人员办理人身意外伤害保险，并对他们进行安全生产方面的教育和专项培训，确保人员培训合格后上岗作业。</w:t>
      </w:r>
    </w:p>
    <w:p w14:paraId="4D96497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（四）我们将给施工人员配备、发放合格有效的安全生产防护用品和设施，并确保人员能正确使用。</w:t>
      </w:r>
    </w:p>
    <w:p w14:paraId="3C3A1FA4">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五）依据建设工程安全生产管理要求，结合该项目的实际特点，我们将有限空间作业、土方坍塌、高处坠落、物体打击、施工用电、机械的使用与维护、临边与洞口防护及施工现场的防火防毒等作为该项目安全生产管理工作的重点；我们将委派具有相应资格且经验丰富的专职安全员对本项目的安全生产工作进行管理，严格执行安全生产“一票否决制”。</w:t>
      </w:r>
    </w:p>
    <w:p w14:paraId="36626690">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（六）我们将加强对进场分包单位的安全管理。 </w:t>
      </w:r>
    </w:p>
    <w:p w14:paraId="1B078590">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（七）我们将对该项目实施过程进行定期、不定期的安全检查，及时消除生产安全事故隐患，并将检查结果汇报至贵方项目部及贵方委托的监理公司。</w:t>
      </w:r>
    </w:p>
    <w:p w14:paraId="038C0DFD">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（八）我们自觉接受贵方及贵方委托的监理公司对安全生产的监督检查，并对存在的安全问题在最短的时间内进行积极有效地整改。</w:t>
      </w:r>
    </w:p>
    <w:p w14:paraId="5F6476C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（九）贵方及贵方委托的监理公司检查时，发现我们对该项目的安全生产管理存在：</w:t>
      </w:r>
    </w:p>
    <w:p w14:paraId="2975A7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1.文明施工方面</w:t>
      </w:r>
    </w:p>
    <w:p w14:paraId="6C6BDB16">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（1）施工人员未佩戴安全帽、未身着反光背心，有穿拖鞋、高跟鞋、赤膊、赤脚等现象，愿接受每次违约处理1000—5000元。</w:t>
      </w:r>
    </w:p>
    <w:p w14:paraId="3536E49E">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（2）施工人员存在酒后作业现象，愿接受每次违约处理1000—5000元。</w:t>
      </w:r>
    </w:p>
    <w:p w14:paraId="2055A183">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（3）施工现场存在焚烧废弃物、随意倾倒建筑、生活垃圾现象，愿接受每次违约处理1000—5000元。</w:t>
      </w:r>
    </w:p>
    <w:p w14:paraId="781A6D14">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（4）施工现场存在打架斗殴、聚众闹事、赌博等不良行为，愿接受每次违约处理5000—10000元。</w:t>
      </w:r>
    </w:p>
    <w:p w14:paraId="0CB32EA6">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（5）施工现场未严格落实“六个百分百”“七个到位”的，愿接受每次违约处理5000—10000元。</w:t>
      </w:r>
    </w:p>
    <w:p w14:paraId="44DCA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2.有限空间作业方面</w:t>
      </w:r>
    </w:p>
    <w:p w14:paraId="57F4A3ED">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（1）未制定有限空间作业安全管理制度、安全操作规程、有限空间作业方案，未建立有限空间管理台账，愿接受每次违约处理1000—5000元。</w:t>
      </w:r>
    </w:p>
    <w:p w14:paraId="254D09E7">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（2）有限空间作业前，未对作业人员进行专项安全培训、未开展安全技术交底，愿接受每次违约处理1000—5000元。</w:t>
      </w:r>
    </w:p>
    <w:p w14:paraId="70609A45">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（3）有限空间作业安全防护设备和个体防护装备配备不到位、有限空间作业无监护人员，愿接受每次违约处理5000—10000元。</w:t>
      </w:r>
    </w:p>
    <w:p w14:paraId="2A5F445E">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（4）未严格落实有限空间作业审批制度、未严格实施有限空间作业流程、未开展应急救援演练，愿接受每次违约处理5000—10000元。</w:t>
      </w:r>
    </w:p>
    <w:p w14:paraId="55B180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3.现场用电方面</w:t>
      </w:r>
    </w:p>
    <w:p w14:paraId="3F79C2CE">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（1）未配备专业电工、电工无证上岗或特种作业操作资格证过期未审核，愿接受每次违约处理1000—5000元。</w:t>
      </w:r>
    </w:p>
    <w:p w14:paraId="2F2BE9B2">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（2）临时用电未采用三级配电、TN-S接零保护、二级漏电保护系统，愿接受每次违约处理1000—5000元。</w:t>
      </w:r>
    </w:p>
    <w:p w14:paraId="1780D2B0">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（3）存在违规接线、私拉乱接、超负荷用电现象，愿接受每次违约处理1000—5000元。</w:t>
      </w:r>
    </w:p>
    <w:p w14:paraId="7258FE2C">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（4）存在使用破损、老化、不合格线缆，愿接受每次违约处理1000—5000元。</w:t>
      </w:r>
    </w:p>
    <w:p w14:paraId="5F0C05C3">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（5）存在其他不符合《施工现场临时用电安全技术规范》JGJ46-2005相关要求的现象，愿接受每次违约处理1000—5000元。</w:t>
      </w:r>
    </w:p>
    <w:p w14:paraId="6E9FBDA1">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4.消防安全方面</w:t>
      </w:r>
    </w:p>
    <w:p w14:paraId="37CCDE87">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（1）动火作业未履行审批程序，愿接受每次违约处理1000—5000元。</w:t>
      </w:r>
    </w:p>
    <w:p w14:paraId="3211EBD9">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（2）焊工无证上岗或特种作业操作资格证过期未审核，愿接受每次违约处理1000—5000元。</w:t>
      </w:r>
    </w:p>
    <w:p w14:paraId="728D1254">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（3）动火作业前，未清理动火点附近10米区域范围内的易燃易爆危险物品或未作适当的安全隔离，动火现场未配备灭火器，愿接受每次违约处理1000—5000元。</w:t>
      </w:r>
    </w:p>
    <w:p w14:paraId="6CC42B5E">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（4）在离地面2米以上的高架上动火作业，未安排专人监护、未设置接火斗，愿接受每次违约处理1000—5000元。</w:t>
      </w:r>
    </w:p>
    <w:p w14:paraId="073881AF">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（5）存在其他不符合《建设工程施工现场消防安全技术规范》GB50720-2011相关要求的现象，愿接受每次违约处理1000—5000元。</w:t>
      </w:r>
    </w:p>
    <w:p w14:paraId="6B75EA8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5.安全防护方面</w:t>
      </w:r>
    </w:p>
    <w:p w14:paraId="7C949860">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（1）作业人员未佩戴符合要求的劳动防护用品，愿接受每次违约处理1000—5000元。</w:t>
      </w:r>
    </w:p>
    <w:p w14:paraId="28FF866E">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（2）临边、洞口未按照规范要求进行防护，愿接受每次违约处理1000—5000元。</w:t>
      </w:r>
    </w:p>
    <w:p w14:paraId="1F4803BA">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（3）存在其他不符合《建筑施工高处作业安全技术规范》JGJ80-2016相关要求的现象，愿接受每次违约处理1000—5000元。</w:t>
      </w:r>
    </w:p>
    <w:p w14:paraId="68B3869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6.基坑施工方面</w:t>
      </w:r>
    </w:p>
    <w:p w14:paraId="4C28BD2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（1）未按照专项施工方案要求进行放坡、支护、降水、监测，愿接受每次违约处理5000—20000元。</w:t>
      </w:r>
    </w:p>
    <w:p w14:paraId="589378E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（2）未设置人员上下爬梯、排水沟、拦水埂，愿接受每次违约处理1000—5000元。</w:t>
      </w:r>
    </w:p>
    <w:p w14:paraId="2D5B954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（3）存在基坑周边堆载、基坑周边使用荷载超过设计限值现象，愿接受每次违约处理1000—5000元。</w:t>
      </w:r>
    </w:p>
    <w:p w14:paraId="1C6E96EA">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（4）基坑临边、临空位置及周边危险部位未设置明显的安全警示标识，愿接受每次违约处理1000—5000元。</w:t>
      </w:r>
    </w:p>
    <w:p w14:paraId="583914ED">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 7.脚手架、模板支架方面</w:t>
      </w:r>
    </w:p>
    <w:p w14:paraId="71D71D3D">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（1）架子工无证上岗或特种作业操作资格证过期未审核，愿接受每次违约处理1000—5000元。</w:t>
      </w:r>
    </w:p>
    <w:p w14:paraId="1DF4E83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（2）脚手架、模板支架的钢管、扣件、可调托撑、可调底座等材质不合格，愿接受每次违约处理1000—5000元。</w:t>
      </w:r>
    </w:p>
    <w:p w14:paraId="0302E184">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（3）脚手架、模板支架在搭设过程中或搭设完成后未通过验收即投入使用，愿接受每次违约处理5000—10000元。</w:t>
      </w:r>
    </w:p>
    <w:p w14:paraId="37DF0BB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存在其他不符合《建筑施工承插型盘扣式钢管脚手架安全技术标准》JGJ/T231-2021、《建筑施工扣件式钢管脚手架安全技术规范》JGJ130-2011、《建筑施工门式钢管脚手架安全技术标准》JGJ/T128-2019、《建筑施工模板安全技术规范》JGJ162-200相关要求的现象，愿接受每次违约处理1000—5000元。</w:t>
      </w:r>
    </w:p>
    <w:p w14:paraId="694ACDC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8.起重吊装、施工机具方面</w:t>
      </w:r>
    </w:p>
    <w:p w14:paraId="6945AC4F">
      <w:pPr>
        <w:spacing w:line="360" w:lineRule="auto"/>
        <w:ind w:firstLine="480" w:firstLineChars="200"/>
        <w:rPr>
          <w:rFonts w:hint="eastAsia" w:ascii="宋体" w:hAnsi="宋体" w:cs="宋体"/>
          <w:sz w:val="24"/>
          <w:highlight w:val="none"/>
        </w:rPr>
      </w:pPr>
      <w:r>
        <w:rPr>
          <w:rFonts w:hint="eastAsia" w:ascii="宋体" w:hAnsi="宋体" w:cs="宋体"/>
          <w:bCs/>
          <w:sz w:val="24"/>
          <w:highlight w:val="none"/>
        </w:rPr>
        <w:t>（1）</w:t>
      </w:r>
      <w:r>
        <w:rPr>
          <w:rFonts w:hint="eastAsia" w:ascii="宋体" w:hAnsi="宋体" w:cs="宋体"/>
          <w:sz w:val="24"/>
          <w:highlight w:val="none"/>
        </w:rPr>
        <w:t>塔吊司机、信号工、机械操作人员无证上岗或特种作业操作资格证过期未审核，愿接受每次违约处理1000—5000元。</w:t>
      </w:r>
    </w:p>
    <w:p w14:paraId="494DA00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（2）起重吊装未安排专门人员进行现场安全管理，愿接受每次违约处理1000—5000元。</w:t>
      </w:r>
    </w:p>
    <w:p w14:paraId="55E0E09D">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（3）机械设备进场或使用前未验收、使用过程中未定期进行检查、维护保养，愿接受每次违约处理1000—5000元。</w:t>
      </w:r>
    </w:p>
    <w:p w14:paraId="660857D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（4）起重吊装所使用的吊具、锁具存在缺陷或不符合要求，愿接受每次违约处理1000—5000元。</w:t>
      </w:r>
    </w:p>
    <w:p w14:paraId="3E5F7F6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（5）起重吊装过程中存在违章指挥、违章操作，愿接受每次违约处理1000—5000元。</w:t>
      </w:r>
    </w:p>
    <w:p w14:paraId="66EAD7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9.应急处置方面</w:t>
      </w:r>
    </w:p>
    <w:p w14:paraId="60136AFC">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（1）发生生产安全事故后，未及时、如实上报至贵方项目部及贵方委托的监理公司，愿接受每次违约处理5000—20000元。</w:t>
      </w:r>
    </w:p>
    <w:p w14:paraId="241AB7D7">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（2）发生生产安全事故后，破坏、伪造事故现场，愿接受每次违约处理5000—20000元。</w:t>
      </w:r>
    </w:p>
    <w:p w14:paraId="776927A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（3）发生生产安全事故后，未及时采取有效的应急处置措施，愿接受每次违约处理5000—20000元。</w:t>
      </w:r>
    </w:p>
    <w:p w14:paraId="13F218E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（4）发生人员伤亡事故后，未积极采取有效的善后处置措施，导致事态升级或造成恶劣影响的，愿接受每次违约处理5000—20000元。</w:t>
      </w:r>
    </w:p>
    <w:p w14:paraId="094481E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（5）未按照要求配备应急救援器材、未建立应急救援队伍、未开展应急救援演练，愿接受每次违约处理5000—20000元。</w:t>
      </w:r>
    </w:p>
    <w:p w14:paraId="4DF877B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10.安全管理方面</w:t>
      </w:r>
    </w:p>
    <w:p w14:paraId="2722949C">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（1）积极配合贵方、监理单位开展安全检查，检查中发现我单位未严格落实相关法律法规、标准规范，造成现场存在事故隐患的，愿接受每次违约处理1000—10000元。</w:t>
      </w:r>
    </w:p>
    <w:p w14:paraId="07CF9C64">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（2）对贵方、监理单位下发的“整改通知单”未及时整改或整改不到位的，愿接受每次违约处理1000—10000元；不服从贵方、监理单位管理的，愿接受每次违约处理5000—50000元。</w:t>
      </w:r>
    </w:p>
    <w:p w14:paraId="1F0AFB6B">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（3）未将安全文明施工措施费用投入到安全文明施工当中，或乱用、挪用安全文明施工措施费的，愿接受每次违约处理5000—50000元。</w:t>
      </w:r>
    </w:p>
    <w:p w14:paraId="05A9BF07">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（4）对于安全防护、文明施工措施落实不到位，或经贵方、监理单位督促仍拒不整改的，愿接受每次违约处理5000—50000元。</w:t>
      </w:r>
    </w:p>
    <w:p w14:paraId="6F660B46">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（5）在项目实施过程中出现工伤事故，所发生的与事故相关的费用（如：医药费、护理费、误工费、事故赔偿金等）均由我方承担，并愿意接受贵方根据事故严重程度对我单位5000—50000的违约处理。</w:t>
      </w:r>
    </w:p>
    <w:p w14:paraId="0DF4701A">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（6）发生重伤或死亡事故的，愿接受每次违约处理50000—300000元。</w:t>
      </w:r>
    </w:p>
    <w:p w14:paraId="11DDF324">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（7）在项目实施过程中，该项目被区级及以上行政主管部门通报批评、行政处罚的，愿接受每次违约处理20000—100000元；被贵方的上级单位通报批评的，愿接受每次违约处理20000—50000元。</w:t>
      </w:r>
    </w:p>
    <w:p w14:paraId="527359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11.其他</w:t>
      </w:r>
    </w:p>
    <w:p w14:paraId="67BB06B3">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（1）针对上述违约处理标准中没有列入的安全隐患事项，愿接受由贵方按照风险隐患大小或参照上述风险隐患大小给予我方相应的违约处理。</w:t>
      </w:r>
    </w:p>
    <w:p w14:paraId="59CD346B">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（2）在履行合同期间发生生产安全事故，我公司将独立承担事故造成的直接经济损失和间接经济损失，此外，还愿意承担给贵方造成的经济损失。</w:t>
      </w:r>
    </w:p>
    <w:p w14:paraId="4473D4DC">
      <w:pPr>
        <w:widowControl/>
        <w:spacing w:line="360" w:lineRule="auto"/>
        <w:rPr>
          <w:rFonts w:hint="eastAsia" w:ascii="宋体" w:hAnsi="宋体" w:cs="宋体"/>
          <w:b/>
          <w:sz w:val="24"/>
          <w:highlight w:val="none"/>
        </w:rPr>
      </w:pPr>
      <w:r>
        <w:rPr>
          <w:rFonts w:hint="eastAsia" w:ascii="宋体" w:hAnsi="宋体" w:cs="宋体"/>
          <w:b/>
          <w:sz w:val="24"/>
          <w:highlight w:val="none"/>
        </w:rPr>
        <w:t>二、质量承诺书</w:t>
      </w:r>
    </w:p>
    <w:p w14:paraId="7EC6739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我公司郑重承诺，将严格按照相关法律法规、标准规范、施工合同、设计文件组织施工，对合同范围内的工程施工质量问题承担责任。具体承诺内容如下：</w:t>
      </w:r>
    </w:p>
    <w:p w14:paraId="6C1C7E9E">
      <w:pPr>
        <w:pStyle w:val="18"/>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（一）我们已经设置了项目质量管理机构，配备了专职质量管理人员，建立了质量责任制，制定了施工过程中的各项质量保障措施。</w:t>
      </w:r>
    </w:p>
    <w:p w14:paraId="62756855">
      <w:pPr>
        <w:pStyle w:val="18"/>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（二）我们将每周定期召开质量工作例会，每周定期开展质量专项检查，严格落实安全技术交底制度。</w:t>
      </w:r>
    </w:p>
    <w:p w14:paraId="712AC4AB">
      <w:pPr>
        <w:pStyle w:val="18"/>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（三）我们将加强对进场分包单位的质量管理。</w:t>
      </w:r>
    </w:p>
    <w:p w14:paraId="1BD962C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（四）我们自觉接受贵方及贵方委托的监理公司对施工质量的监督检查，并对存在的质量问题在最短的时间内进行积极有效地整改。</w:t>
      </w:r>
    </w:p>
    <w:p w14:paraId="541A650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（五）贵方及贵方委托的监理公司检查时，发现我们对该项目的质量管理存在：</w:t>
      </w:r>
    </w:p>
    <w:p w14:paraId="71BA2D9C">
      <w:pPr>
        <w:tabs>
          <w:tab w:val="left" w:pos="945"/>
        </w:tabs>
        <w:autoSpaceDE w:val="0"/>
        <w:autoSpaceDN w:val="0"/>
        <w:adjustRightIn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1.材料、构配件、设备进场未报验，或未能提供产品合格证、出厂检验报告、进场复验报告，或质量不合格即投入使用，愿接受每次违约处理5000—50000元。</w:t>
      </w:r>
    </w:p>
    <w:p w14:paraId="160CAE81">
      <w:pPr>
        <w:tabs>
          <w:tab w:val="left" w:pos="945"/>
        </w:tabs>
        <w:autoSpaceDE w:val="0"/>
        <w:autoSpaceDN w:val="0"/>
        <w:adjustRightIn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2.未严格按照法律法规、标准规范、施工合同、设计文件组织施工，导致工程质量存在一般缺陷的，愿接受每次违约处理2000—20000元；导致工程质量存在严重缺陷的，愿接受每次违约处理20000—200000元。</w:t>
      </w:r>
    </w:p>
    <w:p w14:paraId="34BA0CB3">
      <w:pPr>
        <w:pStyle w:val="18"/>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3.因我方原因造成的质量问题或质量事故，我方愿承担由此造成的一切损失及后果，并愿接受每次违约处理20000—200000元。</w:t>
      </w:r>
    </w:p>
    <w:p w14:paraId="05DD3DF6">
      <w:pPr>
        <w:pStyle w:val="18"/>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4.未严格落实隐蔽工程报检验收、分部分项工程、单位工程验收，愿接受每次违约处理2000—10000元；</w:t>
      </w:r>
    </w:p>
    <w:p w14:paraId="23FABBF3">
      <w:pPr>
        <w:pStyle w:val="18"/>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5.隐蔽工程、分部分项工程、单位工程无质量验收资料，或资料弄虚作假，愿接受每次违约处理2000—5000元；</w:t>
      </w:r>
    </w:p>
    <w:p w14:paraId="6BA23071">
      <w:pPr>
        <w:pStyle w:val="18"/>
        <w:spacing w:line="360" w:lineRule="auto"/>
        <w:ind w:firstLine="480"/>
        <w:rPr>
          <w:rFonts w:hint="eastAsia" w:ascii="宋体" w:hAnsi="宋体" w:cs="宋体"/>
          <w:sz w:val="24"/>
          <w:szCs w:val="24"/>
          <w:highlight w:val="none"/>
        </w:rPr>
      </w:pPr>
      <w:r>
        <w:rPr>
          <w:rFonts w:hint="eastAsia" w:ascii="宋体" w:hAnsi="宋体" w:cs="宋体"/>
          <w:sz w:val="24"/>
          <w:szCs w:val="24"/>
          <w:highlight w:val="none"/>
        </w:rPr>
        <w:t>6.未对进场原材、施工过程质量委托检测单位进行自检，愿接受每次违约处理2000—5000元；未对进场原材、施工过程质量按照贵方要求及时进行第三方质量检测，愿接受每次违约处理2000—5000元。</w:t>
      </w:r>
    </w:p>
    <w:p w14:paraId="10E38A65">
      <w:pPr>
        <w:pStyle w:val="18"/>
        <w:spacing w:line="360" w:lineRule="auto"/>
        <w:ind w:left="-2" w:leftChars="-1" w:firstLine="480"/>
        <w:rPr>
          <w:rFonts w:hint="eastAsia" w:ascii="宋体" w:hAnsi="宋体" w:cs="宋体"/>
          <w:sz w:val="24"/>
          <w:szCs w:val="24"/>
          <w:highlight w:val="none"/>
        </w:rPr>
      </w:pPr>
      <w:r>
        <w:rPr>
          <w:rFonts w:hint="eastAsia" w:ascii="宋体" w:hAnsi="宋体" w:cs="宋体"/>
          <w:sz w:val="24"/>
          <w:szCs w:val="24"/>
          <w:highlight w:val="none"/>
        </w:rPr>
        <w:t>7.对贵方、监理单位下发的“整改通知单”未及时整改或整改不到位的，愿接受每次违约处理1000—10000元；不服从贵方、监理单位管理的，愿接受每次违约处理5000—50000元。</w:t>
      </w:r>
    </w:p>
    <w:p w14:paraId="7C13270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8.对于质量控制措施落实不到位，或经贵方、监理单位督促仍拒不整改的，愿接受每次违约处理5000—50000元。</w:t>
      </w:r>
    </w:p>
    <w:p w14:paraId="7805B9A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9.在项目实施过程中，该项目被区级及以上行政主管部门通报批评、行政处罚的，愿接受每次违约处理20000—100000元；被贵方的上级单位通报批评的，愿接受每次违约处理20000—50000元。</w:t>
      </w:r>
    </w:p>
    <w:p w14:paraId="040851C1">
      <w:pPr>
        <w:pStyle w:val="13"/>
        <w:spacing w:after="0" w:line="360" w:lineRule="auto"/>
        <w:ind w:left="0" w:leftChars="0" w:firstLine="434" w:firstLineChars="181"/>
        <w:rPr>
          <w:rFonts w:hint="eastAsia" w:ascii="宋体" w:hAnsi="宋体" w:cs="宋体"/>
          <w:sz w:val="24"/>
          <w:highlight w:val="none"/>
        </w:rPr>
      </w:pPr>
      <w:r>
        <w:rPr>
          <w:rFonts w:hint="eastAsia" w:ascii="宋体" w:hAnsi="宋体" w:cs="宋体"/>
          <w:sz w:val="24"/>
          <w:highlight w:val="none"/>
        </w:rPr>
        <w:t>10.保修期内出现施工质量问题，贵方通知我方后，我方将在4小时内响应，并于12小时内进行整改。如我方不及时响应或整改不到位，贵方可扣除相应质保金，并愿接受每次违约处理20000—50000元。</w:t>
      </w:r>
    </w:p>
    <w:p w14:paraId="6AE34AEC">
      <w:pPr>
        <w:widowControl/>
        <w:spacing w:line="360" w:lineRule="auto"/>
        <w:rPr>
          <w:rFonts w:hint="eastAsia" w:ascii="宋体" w:hAnsi="宋体" w:cs="宋体"/>
          <w:b/>
          <w:sz w:val="24"/>
          <w:highlight w:val="none"/>
        </w:rPr>
      </w:pPr>
      <w:r>
        <w:rPr>
          <w:rFonts w:hint="eastAsia" w:ascii="宋体" w:hAnsi="宋体" w:cs="宋体"/>
          <w:b/>
          <w:sz w:val="24"/>
          <w:highlight w:val="none"/>
        </w:rPr>
        <w:t>三、扬尘污染防治承诺书</w:t>
      </w:r>
    </w:p>
    <w:p w14:paraId="11AF8F15">
      <w:pPr>
        <w:spacing w:line="360" w:lineRule="auto"/>
        <w:ind w:firstLine="600" w:firstLineChars="250"/>
        <w:rPr>
          <w:rFonts w:hint="eastAsia" w:ascii="宋体" w:hAnsi="宋体" w:cs="宋体"/>
          <w:sz w:val="24"/>
          <w:highlight w:val="none"/>
        </w:rPr>
      </w:pPr>
      <w:r>
        <w:rPr>
          <w:rFonts w:hint="eastAsia" w:ascii="宋体" w:hAnsi="宋体" w:cs="宋体"/>
          <w:sz w:val="24"/>
          <w:highlight w:val="none"/>
        </w:rPr>
        <w:t>我们已经深刻了解了贵单位对该项目扬尘污染防治工作的要求，我公司将严格按照省市区“治污减霾”工作要求，强化专项治理和攻坚行动，坚决打赢蓝天保卫战。具体承诺内容如下：</w:t>
      </w:r>
    </w:p>
    <w:p w14:paraId="49D7028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（一）我们将</w:t>
      </w:r>
      <w:r>
        <w:rPr>
          <w:rFonts w:hint="eastAsia" w:ascii="宋体" w:hAnsi="宋体" w:cs="宋体"/>
          <w:kern w:val="0"/>
          <w:sz w:val="24"/>
          <w:highlight w:val="none"/>
        </w:rPr>
        <w:t>严格执行“六个百分百”和“七个到位”的文明工地标准。</w:t>
      </w:r>
    </w:p>
    <w:p w14:paraId="723FD7B5">
      <w:pPr>
        <w:spacing w:line="360" w:lineRule="auto"/>
        <w:ind w:firstLine="470" w:firstLineChars="196"/>
        <w:rPr>
          <w:rFonts w:hint="eastAsia" w:ascii="宋体" w:hAnsi="宋体" w:cs="宋体"/>
          <w:sz w:val="24"/>
          <w:highlight w:val="none"/>
        </w:rPr>
      </w:pPr>
      <w:r>
        <w:rPr>
          <w:rFonts w:hint="eastAsia" w:ascii="宋体" w:hAnsi="宋体" w:cs="宋体"/>
          <w:sz w:val="24"/>
          <w:highlight w:val="none"/>
        </w:rPr>
        <w:t>1.六个百分百</w:t>
      </w:r>
    </w:p>
    <w:p w14:paraId="1EDEA86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（1）施工区域100%标准围挡。施工现场围挡严格按照《西安市建设工程施工现场围挡及出入口管理规定》和《西安市建设工程施工现场围挡及出入口图册》设置，并保持围挡稳固、完整、清洁。</w:t>
      </w:r>
    </w:p>
    <w:p w14:paraId="2C045773">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（2）裸露黄土100%覆盖。未能及时清运或要存留的土方必须集中堆放，同时采取密目网覆盖或绿化措施，定时进行洒水、防止扬尘产生。</w:t>
      </w:r>
    </w:p>
    <w:p w14:paraId="09B358D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（3）施工道路100%硬化。施工现场内主要道路必须进行硬化处理，根据工程规模配备相应数量的专职保洁人员清扫保洁，保持道路干净无扬尘。</w:t>
      </w:r>
    </w:p>
    <w:p w14:paraId="654FD138">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（4）渣土运输车辆100%密闭拉运。渣土车辆进行清运时必须采取密闭措施，防止车辆在行进过程中出现扬尘或渣土漏撒。</w:t>
      </w:r>
    </w:p>
    <w:p w14:paraId="1440B47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（5）施工现场出入车辆100%冲洗清洁。项目工地必须严格按照标准在出入口设置车辆冲洗台。现场安排保洁人员用高压水枪对车辆槽帮和车轮进行补充冲洗，确保所有运输车辆干净出场，严禁带泥上路。</w:t>
      </w:r>
    </w:p>
    <w:p w14:paraId="5DF61A6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（6）建筑物拆除100%湿法作业。对建筑物实施拆除时，必须辅以持续加压洒水或喷淋措施，抑制扬尘污染。</w:t>
      </w:r>
    </w:p>
    <w:p w14:paraId="747BBA93">
      <w:pPr>
        <w:spacing w:line="360" w:lineRule="auto"/>
        <w:ind w:firstLine="470" w:firstLineChars="196"/>
        <w:rPr>
          <w:rFonts w:hint="eastAsia" w:ascii="宋体" w:hAnsi="宋体" w:cs="宋体"/>
          <w:sz w:val="24"/>
          <w:highlight w:val="none"/>
        </w:rPr>
      </w:pPr>
      <w:r>
        <w:rPr>
          <w:rFonts w:hint="eastAsia" w:ascii="宋体" w:hAnsi="宋体" w:cs="宋体"/>
          <w:sz w:val="24"/>
          <w:highlight w:val="none"/>
        </w:rPr>
        <w:t>2.七个到位</w:t>
      </w:r>
    </w:p>
    <w:p w14:paraId="454CF3E7">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（1）出土工地和拆迁工地应做到施工围挡到位。</w:t>
      </w:r>
    </w:p>
    <w:p w14:paraId="4B78E5FF">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（2）出入口道路混凝土路面硬化到位（长度不低于30米，特殊情况现场勘查确定）。</w:t>
      </w:r>
    </w:p>
    <w:p w14:paraId="72E88EE1">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（3）坑坡道硬化处理到位（根据实际情况采用混凝土路面或铺设碎石、砖渣、炉渣等方式进行硬化处理）。</w:t>
      </w:r>
    </w:p>
    <w:p w14:paraId="3CE9146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（4）自动冲洗设备安装和使用到位。</w:t>
      </w:r>
    </w:p>
    <w:p w14:paraId="37CEC7D4">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（5）筑垃圾运输车辆密闭到位。</w:t>
      </w:r>
    </w:p>
    <w:p w14:paraId="3C37E07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（6）迁工地拆除过程中使用专业降尘设施湿法作业到位。</w:t>
      </w:r>
    </w:p>
    <w:p w14:paraId="350DA75B">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（7）迁工地暂不开挖的裸露地面和2日内不清运的拆迁垃圾覆盖到位。 </w:t>
      </w:r>
    </w:p>
    <w:p w14:paraId="22A16A9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(二)贵方及贵方委托的监理公司检查时，发现我们对该项目的扬尘污染防治管理存在：</w:t>
      </w:r>
    </w:p>
    <w:p w14:paraId="0ACE290C">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1.未按要求配备专职治污减霾员、未根据现场实际情况配备足够数量专职保洁员，愿接受每次违约处理1000—5000元。</w:t>
      </w:r>
    </w:p>
    <w:p w14:paraId="5A5201AB">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2.未按规定设置各类环境保护牌（建筑垃圾监管公示牌、扬尘防治包抓监管公示牌、重污染天气应急响应公告牌）或设置不规范,愿接受每次违约处理1000—5000元。</w:t>
      </w:r>
    </w:p>
    <w:p w14:paraId="0205C7AC">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3.在建工地现场或出入口未按要求安装环境监测仪、视频监控系统，并连接至高新区监管网络平台的，愿接受每次违约处理1000—5000元。</w:t>
      </w:r>
    </w:p>
    <w:p w14:paraId="306156B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4.施工场地内有熔融沥青、焚烧树叶、塑料、垃圾等各类有毒有害物质和废弃物的，使用煤、碳、木料等污染严重燃料的，愿接受每次违约处理1000—5000元。</w:t>
      </w:r>
    </w:p>
    <w:p w14:paraId="7856CFB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5.进行旧路面破除时，未采取湿法作业、未及时覆盖，挖土、装土及二灰石、灰土施工过程中未采取洒水降尘或喷雾降尘措施的，愿接受每次违约处理1000—5000元。 </w:t>
      </w:r>
    </w:p>
    <w:p w14:paraId="217C8CE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6.未达到六个百分百、七个到位要求的，并在要求时间内整改不到位的，愿接受每次违约处理1000—5000元。 </w:t>
      </w:r>
    </w:p>
    <w:p w14:paraId="07E32EB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7.在项目实施过程中，该项目被区级及以上行政主管部门通报批评、行政处罚的，愿接受每次违约处理20000—100000元；被贵方的上级单位通报批评的，愿接受每次违约处理20000—50000元。</w:t>
      </w:r>
    </w:p>
    <w:p w14:paraId="07A1BD59">
      <w:pPr>
        <w:spacing w:line="360" w:lineRule="auto"/>
        <w:ind w:firstLine="480" w:firstLineChars="200"/>
        <w:rPr>
          <w:rFonts w:hint="eastAsia" w:ascii="宋体" w:hAnsi="宋体" w:cs="宋体"/>
          <w:sz w:val="24"/>
          <w:highlight w:val="none"/>
        </w:rPr>
      </w:pPr>
    </w:p>
    <w:p w14:paraId="3B9EEE6A">
      <w:pPr>
        <w:spacing w:line="360" w:lineRule="auto"/>
        <w:ind w:firstLine="480"/>
        <w:rPr>
          <w:rFonts w:hint="eastAsia" w:ascii="宋体" w:hAnsi="宋体" w:cs="宋体"/>
          <w:sz w:val="24"/>
          <w:highlight w:val="none"/>
        </w:rPr>
      </w:pPr>
    </w:p>
    <w:p w14:paraId="0837003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承诺单位：</w:t>
      </w:r>
      <w:r>
        <w:rPr>
          <w:rFonts w:hint="default" w:ascii="Times New Roman" w:hAnsi="Times New Roman" w:cs="Times New Roman"/>
          <w:color w:val="auto"/>
          <w:sz w:val="24"/>
          <w:highlight w:val="none"/>
          <w:u w:val="single"/>
        </w:rPr>
        <w:t>陕西建工集团股份有限公司</w:t>
      </w:r>
      <w:r>
        <w:rPr>
          <w:rFonts w:hint="eastAsia" w:ascii="宋体" w:hAnsi="宋体" w:cs="宋体"/>
          <w:sz w:val="24"/>
          <w:highlight w:val="none"/>
        </w:rPr>
        <w:t>（章）</w:t>
      </w:r>
    </w:p>
    <w:p w14:paraId="520A4849">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负 责 人：</w:t>
      </w:r>
      <w:r>
        <w:rPr>
          <w:rFonts w:hint="eastAsia" w:ascii="宋体" w:hAnsi="宋体" w:cs="宋体"/>
          <w:sz w:val="24"/>
          <w:highlight w:val="none"/>
          <w:u w:val="single"/>
        </w:rPr>
        <w:t xml:space="preserve">                  </w:t>
      </w:r>
      <w:r>
        <w:rPr>
          <w:rFonts w:hint="eastAsia" w:ascii="宋体" w:hAnsi="宋体" w:cs="宋体"/>
          <w:sz w:val="24"/>
          <w:highlight w:val="none"/>
        </w:rPr>
        <w:t>（签字或盖章）</w:t>
      </w:r>
    </w:p>
    <w:p w14:paraId="474A3452">
      <w:pPr>
        <w:spacing w:line="360" w:lineRule="auto"/>
        <w:rPr>
          <w:rFonts w:hint="eastAsia" w:ascii="宋体" w:hAnsi="宋体" w:cs="宋体"/>
          <w:sz w:val="24"/>
          <w:highlight w:val="none"/>
        </w:rPr>
      </w:pPr>
    </w:p>
    <w:p w14:paraId="5E896BD4">
      <w:pPr>
        <w:spacing w:line="360" w:lineRule="auto"/>
        <w:ind w:firstLine="480" w:firstLineChars="200"/>
        <w:rPr>
          <w:rFonts w:hint="eastAsia" w:ascii="宋体" w:hAnsi="宋体" w:cs="宋体"/>
          <w:b/>
          <w:sz w:val="30"/>
          <w:szCs w:val="30"/>
          <w:highlight w:val="none"/>
        </w:rPr>
      </w:pPr>
      <w:r>
        <w:rPr>
          <w:rFonts w:hint="eastAsia" w:ascii="宋体" w:hAnsi="宋体" w:cs="宋体"/>
          <w:sz w:val="24"/>
          <w:highlight w:val="none"/>
        </w:rPr>
        <w:t>承诺时间：</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41F8EAC7">
      <w:pPr>
        <w:rPr>
          <w:rFonts w:hint="eastAsia" w:ascii="宋体" w:hAnsi="宋体" w:cs="宋体"/>
          <w:highlight w:val="none"/>
        </w:rPr>
      </w:pPr>
    </w:p>
    <w:p w14:paraId="3CD234EA">
      <w:pPr>
        <w:rPr>
          <w:rFonts w:hint="eastAsia" w:ascii="宋体" w:hAnsi="宋体" w:cs="宋体"/>
          <w:highlight w:val="none"/>
        </w:rPr>
      </w:pPr>
    </w:p>
    <w:p w14:paraId="3D8C5E14">
      <w:pPr>
        <w:spacing w:line="360" w:lineRule="auto"/>
        <w:rPr>
          <w:rFonts w:hint="eastAsia" w:ascii="宋体" w:hAnsi="宋体" w:cs="宋体"/>
          <w:sz w:val="24"/>
          <w:highlight w:val="none"/>
        </w:rPr>
      </w:pPr>
    </w:p>
    <w:p w14:paraId="0EB6021D">
      <w:pPr>
        <w:spacing w:line="360" w:lineRule="auto"/>
        <w:rPr>
          <w:rFonts w:hint="eastAsia" w:ascii="宋体" w:hAnsi="宋体" w:cs="宋体"/>
          <w:sz w:val="24"/>
          <w:highlight w:val="none"/>
        </w:rPr>
      </w:pPr>
    </w:p>
    <w:p w14:paraId="649316AA">
      <w:pPr>
        <w:spacing w:line="360" w:lineRule="auto"/>
        <w:rPr>
          <w:rFonts w:hint="eastAsia" w:ascii="宋体" w:hAnsi="宋体" w:cs="宋体"/>
          <w:sz w:val="24"/>
          <w:highlight w:val="none"/>
        </w:rPr>
      </w:pPr>
    </w:p>
    <w:p w14:paraId="74FAD793">
      <w:pPr>
        <w:spacing w:line="360" w:lineRule="auto"/>
        <w:rPr>
          <w:rFonts w:hint="eastAsia" w:ascii="宋体" w:hAnsi="宋体" w:cs="宋体"/>
          <w:sz w:val="24"/>
          <w:highlight w:val="none"/>
        </w:rPr>
      </w:pPr>
    </w:p>
    <w:p w14:paraId="7CBAD25B">
      <w:pPr>
        <w:spacing w:line="360" w:lineRule="auto"/>
        <w:rPr>
          <w:rFonts w:hint="eastAsia" w:ascii="宋体" w:hAnsi="宋体" w:cs="宋体"/>
          <w:sz w:val="24"/>
          <w:highlight w:val="none"/>
        </w:rPr>
      </w:pPr>
    </w:p>
    <w:p w14:paraId="61432581">
      <w:pPr>
        <w:spacing w:line="360" w:lineRule="auto"/>
        <w:rPr>
          <w:rFonts w:hint="eastAsia" w:ascii="宋体" w:hAnsi="宋体" w:cs="宋体"/>
          <w:sz w:val="24"/>
          <w:highlight w:val="none"/>
        </w:rPr>
      </w:pPr>
    </w:p>
    <w:p w14:paraId="308A9E1A">
      <w:pPr>
        <w:spacing w:line="360" w:lineRule="auto"/>
        <w:rPr>
          <w:rFonts w:hint="eastAsia" w:ascii="宋体" w:hAnsi="宋体" w:cs="宋体"/>
          <w:sz w:val="24"/>
          <w:highlight w:val="none"/>
        </w:rPr>
      </w:pPr>
    </w:p>
    <w:p w14:paraId="55E670CF">
      <w:pPr>
        <w:spacing w:line="360" w:lineRule="auto"/>
        <w:rPr>
          <w:rFonts w:hint="eastAsia" w:ascii="宋体" w:hAnsi="宋体" w:cs="宋体"/>
          <w:b/>
          <w:sz w:val="30"/>
          <w:szCs w:val="30"/>
          <w:highlight w:val="none"/>
        </w:rPr>
      </w:pPr>
      <w:r>
        <w:rPr>
          <w:rFonts w:hint="eastAsia" w:ascii="宋体" w:hAnsi="宋体" w:cs="宋体"/>
          <w:sz w:val="24"/>
          <w:highlight w:val="none"/>
        </w:rPr>
        <w:t>附件五：</w:t>
      </w:r>
    </w:p>
    <w:p w14:paraId="7CE9B78E">
      <w:pPr>
        <w:spacing w:line="360" w:lineRule="auto"/>
        <w:jc w:val="center"/>
        <w:rPr>
          <w:rFonts w:hint="eastAsia" w:ascii="宋体" w:hAnsi="宋体" w:cs="宋体"/>
          <w:b/>
          <w:sz w:val="30"/>
          <w:szCs w:val="30"/>
          <w:highlight w:val="none"/>
        </w:rPr>
      </w:pPr>
      <w:r>
        <w:rPr>
          <w:rFonts w:hint="eastAsia" w:ascii="宋体" w:hAnsi="宋体" w:cs="宋体"/>
          <w:b/>
          <w:sz w:val="30"/>
          <w:szCs w:val="30"/>
          <w:highlight w:val="none"/>
        </w:rPr>
        <w:t>廉政协议书</w:t>
      </w:r>
    </w:p>
    <w:p w14:paraId="77506E24">
      <w:pPr>
        <w:spacing w:before="50" w:after="50" w:line="360" w:lineRule="auto"/>
        <w:ind w:left="422" w:hanging="482" w:hangingChars="200"/>
        <w:rPr>
          <w:rFonts w:hint="eastAsia" w:ascii="宋体" w:hAnsi="宋体" w:cs="宋体"/>
          <w:b/>
          <w:highlight w:val="none"/>
        </w:rPr>
      </w:pPr>
    </w:p>
    <w:p w14:paraId="56ABEBDE">
      <w:pPr>
        <w:spacing w:line="480" w:lineRule="exact"/>
        <w:ind w:left="480" w:leftChars="200"/>
        <w:rPr>
          <w:rFonts w:hint="eastAsia" w:ascii="宋体" w:hAnsi="宋体" w:cs="宋体"/>
          <w:sz w:val="24"/>
          <w:highlight w:val="none"/>
          <w:u w:val="single"/>
        </w:rPr>
      </w:pPr>
      <w:r>
        <w:rPr>
          <w:rFonts w:hint="eastAsia" w:ascii="宋体" w:hAnsi="宋体" w:cs="宋体"/>
          <w:b/>
          <w:sz w:val="24"/>
          <w:highlight w:val="none"/>
        </w:rPr>
        <w:t>发包人：</w:t>
      </w:r>
      <w:r>
        <w:rPr>
          <w:rFonts w:hint="eastAsia" w:ascii="宋体" w:hAnsi="宋体" w:cs="宋体"/>
          <w:sz w:val="24"/>
          <w:highlight w:val="none"/>
          <w:u w:val="single"/>
        </w:rPr>
        <w:t>西安高新技术产业开发区公共项目建设管理中心</w:t>
      </w:r>
    </w:p>
    <w:p w14:paraId="001938CF">
      <w:pPr>
        <w:spacing w:line="480" w:lineRule="exact"/>
        <w:ind w:left="480" w:leftChars="200"/>
        <w:rPr>
          <w:rFonts w:ascii="宋体" w:hAnsi="宋体" w:cs="宋体"/>
          <w:sz w:val="24"/>
          <w:highlight w:val="yellow"/>
          <w:u w:val="single"/>
        </w:rPr>
      </w:pPr>
      <w:r>
        <w:rPr>
          <w:rFonts w:hint="eastAsia" w:ascii="宋体" w:hAnsi="宋体" w:cs="宋体"/>
          <w:b/>
          <w:sz w:val="24"/>
          <w:highlight w:val="none"/>
        </w:rPr>
        <w:t>承包人：</w:t>
      </w:r>
      <w:r>
        <w:rPr>
          <w:rFonts w:hint="default" w:ascii="Times New Roman" w:hAnsi="Times New Roman" w:cs="Times New Roman"/>
          <w:color w:val="auto"/>
          <w:sz w:val="24"/>
          <w:highlight w:val="none"/>
          <w:u w:val="single"/>
        </w:rPr>
        <w:t>陕西建工集团股份有限公司</w:t>
      </w:r>
    </w:p>
    <w:p w14:paraId="7E3A559B">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为规范企业经营活动，维护</w:t>
      </w:r>
      <w:r>
        <w:rPr>
          <w:rFonts w:hint="eastAsia" w:ascii="宋体" w:hAnsi="宋体" w:cs="宋体"/>
          <w:sz w:val="24"/>
          <w:highlight w:val="none"/>
          <w:lang w:val="en-US" w:eastAsia="zh-CN"/>
        </w:rPr>
        <w:t>双</w:t>
      </w:r>
      <w:r>
        <w:rPr>
          <w:rFonts w:hint="eastAsia" w:ascii="宋体" w:hAnsi="宋体" w:cs="宋体"/>
          <w:sz w:val="24"/>
          <w:highlight w:val="none"/>
        </w:rPr>
        <w:t>方的共同利益，遵循诚实信用的原则，经友好协商，签订本协议，以便三方共同遵守。</w:t>
      </w:r>
    </w:p>
    <w:p w14:paraId="0B76B66C">
      <w:pPr>
        <w:spacing w:line="480" w:lineRule="exact"/>
        <w:ind w:firstLine="482" w:firstLineChars="200"/>
        <w:rPr>
          <w:rFonts w:hint="eastAsia" w:ascii="宋体" w:hAnsi="宋体" w:cs="宋体"/>
          <w:b/>
          <w:sz w:val="24"/>
          <w:highlight w:val="none"/>
        </w:rPr>
      </w:pPr>
      <w:r>
        <w:rPr>
          <w:rFonts w:hint="eastAsia" w:ascii="宋体" w:hAnsi="宋体" w:cs="宋体"/>
          <w:b/>
          <w:sz w:val="24"/>
          <w:highlight w:val="none"/>
        </w:rPr>
        <w:t>第一条  三方的责任</w:t>
      </w:r>
    </w:p>
    <w:p w14:paraId="26478CB0">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1.1  严格遵守国家有关法律、法规。</w:t>
      </w:r>
    </w:p>
    <w:p w14:paraId="2DA6B32E">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1.2  严格执行</w:t>
      </w:r>
      <w:r>
        <w:rPr>
          <w:rFonts w:hint="eastAsia" w:ascii="宋体" w:hAnsi="宋体" w:cs="宋体"/>
          <w:sz w:val="24"/>
          <w:highlight w:val="none"/>
          <w:lang w:val="en-US" w:eastAsia="zh-CN"/>
        </w:rPr>
        <w:t>双</w:t>
      </w:r>
      <w:r>
        <w:rPr>
          <w:rFonts w:hint="eastAsia" w:ascii="宋体" w:hAnsi="宋体" w:cs="宋体"/>
          <w:sz w:val="24"/>
          <w:highlight w:val="none"/>
        </w:rPr>
        <w:t xml:space="preserve">方签订的 </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韦斗大道（纬二十路）（经四十路—造字台路）道路工程EPC工程总承包</w:t>
      </w:r>
      <w:r>
        <w:rPr>
          <w:rFonts w:hint="eastAsia" w:ascii="宋体" w:hAnsi="宋体" w:cs="宋体"/>
          <w:sz w:val="24"/>
          <w:highlight w:val="none"/>
          <w:u w:val="single"/>
        </w:rPr>
        <w:t xml:space="preserve"> </w:t>
      </w:r>
      <w:r>
        <w:rPr>
          <w:rFonts w:hint="eastAsia" w:ascii="宋体" w:hAnsi="宋体" w:cs="宋体"/>
          <w:sz w:val="24"/>
          <w:highlight w:val="none"/>
        </w:rPr>
        <w:t xml:space="preserve"> 合同。</w:t>
      </w:r>
    </w:p>
    <w:p w14:paraId="5D7C7BBE">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1.3  任何一方不得为获取不正当的利益，采用任何方式损害对方的合法权益。</w:t>
      </w:r>
    </w:p>
    <w:p w14:paraId="59E38123">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1.4  任何一方发现对方业务人员在业务活动中有违法、违规、违纪、违反本协议行为的，有义务即时向对方监督部门举报(双方监督部门电话附后)，举报时须提供相关证明材料。</w:t>
      </w:r>
    </w:p>
    <w:p w14:paraId="32A49B6A">
      <w:pPr>
        <w:spacing w:line="480" w:lineRule="exact"/>
        <w:ind w:firstLine="472" w:firstLineChars="196"/>
        <w:rPr>
          <w:rFonts w:hint="eastAsia" w:ascii="宋体" w:hAnsi="宋体" w:cs="宋体"/>
          <w:b/>
          <w:sz w:val="24"/>
          <w:highlight w:val="none"/>
        </w:rPr>
      </w:pPr>
      <w:r>
        <w:rPr>
          <w:rFonts w:hint="eastAsia" w:ascii="宋体" w:hAnsi="宋体" w:cs="宋体"/>
          <w:b/>
          <w:sz w:val="24"/>
          <w:highlight w:val="none"/>
        </w:rPr>
        <w:t>第二条  发包人的责任</w:t>
      </w:r>
    </w:p>
    <w:p w14:paraId="0165A938">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2.1  应与承包人保持正常的业务交往，按照有关法律法规和程序开展业务工作。</w:t>
      </w:r>
    </w:p>
    <w:p w14:paraId="1FC6A531">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2.2  在商务活动中应当依法办事、廉洁自律，不得有任何涉及商业贿赂或损害企业利益的行为（包括但不限于以下情形）：</w:t>
      </w:r>
    </w:p>
    <w:p w14:paraId="201C497A">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2.2.1向承包人及承包人工作人员索要或接受承包人以及承包人工作人员的回扣、礼金、有价证券、贵重物品或好处费、感谢费等；</w:t>
      </w:r>
    </w:p>
    <w:p w14:paraId="1D204292">
      <w:pPr>
        <w:spacing w:line="480" w:lineRule="exact"/>
        <w:ind w:left="480" w:leftChars="200"/>
        <w:rPr>
          <w:rFonts w:hint="eastAsia" w:ascii="宋体" w:hAnsi="宋体" w:cs="宋体"/>
          <w:sz w:val="24"/>
          <w:highlight w:val="none"/>
        </w:rPr>
      </w:pPr>
      <w:r>
        <w:rPr>
          <w:rFonts w:hint="eastAsia" w:ascii="宋体" w:hAnsi="宋体" w:cs="宋体"/>
          <w:sz w:val="24"/>
          <w:highlight w:val="none"/>
        </w:rPr>
        <w:t>2.2.2 在业务活动中以任何理由设置障碍、态度粗鲁、刁难承包人；</w:t>
      </w:r>
    </w:p>
    <w:p w14:paraId="19A9AC32">
      <w:pPr>
        <w:spacing w:line="480" w:lineRule="exact"/>
        <w:ind w:left="480" w:leftChars="200"/>
        <w:rPr>
          <w:rFonts w:hint="eastAsia" w:ascii="宋体" w:hAnsi="宋体" w:cs="宋体"/>
          <w:sz w:val="24"/>
          <w:highlight w:val="none"/>
        </w:rPr>
      </w:pPr>
      <w:r>
        <w:rPr>
          <w:rFonts w:hint="eastAsia" w:ascii="宋体" w:hAnsi="宋体" w:cs="宋体"/>
          <w:sz w:val="24"/>
          <w:highlight w:val="none"/>
        </w:rPr>
        <w:t>2.2.3 在承包人报销任何应由发包人或发包人工作人员个人支付的费用；</w:t>
      </w:r>
    </w:p>
    <w:p w14:paraId="33C295F3">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2.2.4 要求或接受承包人或承包人工作人员为发包人工作人员装修住房、婚丧嫁娶、或为其配偶及亲戚朋友安排工作提供方便；</w:t>
      </w:r>
    </w:p>
    <w:p w14:paraId="1695723D">
      <w:pPr>
        <w:spacing w:line="480" w:lineRule="exact"/>
        <w:ind w:left="480" w:leftChars="200"/>
        <w:rPr>
          <w:rFonts w:hint="eastAsia" w:ascii="宋体" w:hAnsi="宋体" w:cs="宋体"/>
          <w:sz w:val="24"/>
          <w:highlight w:val="none"/>
        </w:rPr>
      </w:pPr>
      <w:r>
        <w:rPr>
          <w:rFonts w:hint="eastAsia" w:ascii="宋体" w:hAnsi="宋体" w:cs="宋体"/>
          <w:sz w:val="24"/>
          <w:highlight w:val="none"/>
        </w:rPr>
        <w:t>2.2.5 参加承包人或承包人工作人员安排的宴请、健身、娱乐、桑拿按摩等活动；</w:t>
      </w:r>
    </w:p>
    <w:p w14:paraId="5A4F178C">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2.2.6 向承包人或承包人工作人员要求为发包人工作人员或其配偶及亲戚朋友介绍经营业务等活动。</w:t>
      </w:r>
    </w:p>
    <w:p w14:paraId="2EAD98B5">
      <w:pPr>
        <w:spacing w:line="480" w:lineRule="exact"/>
        <w:ind w:firstLine="472" w:firstLineChars="196"/>
        <w:rPr>
          <w:rFonts w:hint="eastAsia" w:ascii="宋体" w:hAnsi="宋体" w:cs="宋体"/>
          <w:b/>
          <w:sz w:val="24"/>
          <w:highlight w:val="none"/>
        </w:rPr>
      </w:pPr>
      <w:r>
        <w:rPr>
          <w:rFonts w:hint="eastAsia" w:ascii="宋体" w:hAnsi="宋体" w:cs="宋体"/>
          <w:b/>
          <w:sz w:val="24"/>
          <w:highlight w:val="none"/>
        </w:rPr>
        <w:t>第三条  承包人的责任</w:t>
      </w:r>
    </w:p>
    <w:p w14:paraId="44A24BF7">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3.1  应与发包人保持正常的业务交往，按照有关法律法规和程序开展业务工作。</w:t>
      </w:r>
    </w:p>
    <w:p w14:paraId="37D7A107">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 xml:space="preserve">3.2  在与发包人的商务活动中应当依法办事、廉洁自律，不得以任何方式从事任何涉及商业贿赂或损害发包人企业利益的行为，包括但不限于以下情形： </w:t>
      </w:r>
    </w:p>
    <w:p w14:paraId="544DE8B5">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3.2.1 以任何理由或方式向发包人及其工作人员赠送礼金、有价证券、贵重物品及回扣、好处费、感谢费等；</w:t>
      </w:r>
    </w:p>
    <w:p w14:paraId="3CA0EF6D">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 xml:space="preserve">3.2.2 以任何理由或方式为发包人及其工作人员报销应由发包人及其工作人员支付的费用； </w:t>
      </w:r>
    </w:p>
    <w:p w14:paraId="40D12138">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3.2.3 为发包人工作人员装修住房、安排婚丧嫁娶活动及为其配偶或亲戚朋友安排工作或牵线搭桥、提供方便；</w:t>
      </w:r>
    </w:p>
    <w:p w14:paraId="010AFA6E">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3.2.4 以任何理由宴请发包人单位及其工作人员；以任何理由安排发包人单位及其工作人员参与其组织的健身、娱乐、桑拿按摩等活动；</w:t>
      </w:r>
    </w:p>
    <w:p w14:paraId="6582A591">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3.2.5 为发包人工作人员及其配偶、亲戚朋友介绍经营业务、提供经营业务的便利条件，进行经营业务合作等活动。</w:t>
      </w:r>
    </w:p>
    <w:p w14:paraId="0F71726B">
      <w:pPr>
        <w:spacing w:line="480" w:lineRule="exact"/>
        <w:ind w:firstLine="472" w:firstLineChars="196"/>
        <w:rPr>
          <w:rFonts w:hint="eastAsia" w:ascii="宋体" w:hAnsi="宋体" w:cs="宋体"/>
          <w:b/>
          <w:sz w:val="24"/>
          <w:highlight w:val="none"/>
        </w:rPr>
      </w:pPr>
      <w:r>
        <w:rPr>
          <w:rFonts w:hint="eastAsia" w:ascii="宋体" w:hAnsi="宋体" w:cs="宋体"/>
          <w:b/>
          <w:sz w:val="24"/>
          <w:highlight w:val="none"/>
        </w:rPr>
        <w:t>第四条  违约责任</w:t>
      </w:r>
    </w:p>
    <w:p w14:paraId="1A763D3E">
      <w:pPr>
        <w:spacing w:line="480" w:lineRule="exact"/>
        <w:ind w:firstLine="480" w:firstLineChars="200"/>
        <w:rPr>
          <w:rFonts w:hint="eastAsia" w:ascii="宋体" w:hAnsi="宋体" w:cs="宋体"/>
          <w:sz w:val="24"/>
          <w:highlight w:val="none"/>
        </w:rPr>
      </w:pPr>
      <w:r>
        <w:rPr>
          <w:rFonts w:hint="eastAsia" w:ascii="宋体" w:hAnsi="宋体" w:cs="宋体"/>
          <w:sz w:val="24"/>
          <w:highlight w:val="none"/>
        </w:rPr>
        <w:t>4.1  承包人或工作人员违反本协议第一条或第三条的，承包人应赔偿发包人违约金共计人民币伍万元整，发包人有权据此解除施工合同，同时发包人将永久性地取消承包人与发包人再次合作的资格，构成犯罪的，发包人将向司法机关报案，追究承包人及承包人相关人员刑事责任；给发包人单位造成经济损失的，还应予以赔偿。</w:t>
      </w:r>
    </w:p>
    <w:p w14:paraId="6779AE70">
      <w:pPr>
        <w:spacing w:line="480" w:lineRule="exact"/>
        <w:ind w:firstLine="482" w:firstLineChars="200"/>
        <w:rPr>
          <w:rFonts w:hint="eastAsia" w:ascii="宋体" w:hAnsi="宋体" w:cs="宋体"/>
          <w:sz w:val="24"/>
          <w:highlight w:val="none"/>
        </w:rPr>
      </w:pPr>
      <w:r>
        <w:rPr>
          <w:rFonts w:hint="eastAsia" w:ascii="宋体" w:hAnsi="宋体" w:cs="宋体"/>
          <w:b/>
          <w:sz w:val="24"/>
          <w:highlight w:val="none"/>
        </w:rPr>
        <w:t>第五条</w:t>
      </w:r>
      <w:r>
        <w:rPr>
          <w:rFonts w:hint="eastAsia" w:ascii="宋体" w:hAnsi="宋体" w:cs="宋体"/>
          <w:sz w:val="24"/>
          <w:highlight w:val="none"/>
        </w:rPr>
        <w:t xml:space="preserve">  本协议作为</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韦斗大道（纬二十路）（经四十路—造字台路）道路工程EPC工程总承包</w:t>
      </w:r>
      <w:r>
        <w:rPr>
          <w:rFonts w:hint="eastAsia" w:ascii="宋体" w:hAnsi="宋体" w:cs="宋体"/>
          <w:sz w:val="24"/>
          <w:highlight w:val="none"/>
          <w:u w:val="single"/>
        </w:rPr>
        <w:t xml:space="preserve">  </w:t>
      </w:r>
      <w:r>
        <w:rPr>
          <w:rFonts w:hint="eastAsia" w:ascii="宋体" w:hAnsi="宋体" w:cs="宋体"/>
          <w:sz w:val="24"/>
          <w:highlight w:val="none"/>
        </w:rPr>
        <w:t>（项目名称）合同附件，与合同具有同等法律效力。</w:t>
      </w:r>
    </w:p>
    <w:p w14:paraId="51150610">
      <w:pPr>
        <w:spacing w:line="360" w:lineRule="auto"/>
        <w:ind w:firstLine="424" w:firstLineChars="177"/>
        <w:rPr>
          <w:rFonts w:hint="eastAsia" w:ascii="宋体" w:hAnsi="宋体" w:cs="宋体"/>
          <w:sz w:val="24"/>
          <w:highlight w:val="none"/>
        </w:rPr>
      </w:pPr>
    </w:p>
    <w:tbl>
      <w:tblPr>
        <w:tblStyle w:val="14"/>
        <w:tblpPr w:leftFromText="180" w:rightFromText="180" w:vertAnchor="text" w:horzAnchor="page" w:tblpXSpec="center" w:tblpY="89"/>
        <w:tblOverlap w:val="never"/>
        <w:tblW w:w="8939" w:type="dxa"/>
        <w:jc w:val="center"/>
        <w:tblLayout w:type="fixed"/>
        <w:tblCellMar>
          <w:top w:w="0" w:type="dxa"/>
          <w:left w:w="108" w:type="dxa"/>
          <w:bottom w:w="0" w:type="dxa"/>
          <w:right w:w="108" w:type="dxa"/>
        </w:tblCellMar>
      </w:tblPr>
      <w:tblGrid>
        <w:gridCol w:w="4441"/>
        <w:gridCol w:w="4498"/>
      </w:tblGrid>
      <w:tr w14:paraId="2670556F">
        <w:tblPrEx>
          <w:tblCellMar>
            <w:top w:w="0" w:type="dxa"/>
            <w:left w:w="108" w:type="dxa"/>
            <w:bottom w:w="0" w:type="dxa"/>
            <w:right w:w="108" w:type="dxa"/>
          </w:tblCellMar>
        </w:tblPrEx>
        <w:trPr>
          <w:trHeight w:val="982" w:hRule="atLeast"/>
          <w:jc w:val="center"/>
        </w:trPr>
        <w:tc>
          <w:tcPr>
            <w:tcW w:w="4441" w:type="dxa"/>
            <w:noWrap w:val="0"/>
            <w:vAlign w:val="center"/>
          </w:tcPr>
          <w:p w14:paraId="2878ADB1">
            <w:pPr>
              <w:spacing w:line="440" w:lineRule="exact"/>
              <w:rPr>
                <w:rFonts w:hint="eastAsia" w:ascii="宋体" w:hAnsi="宋体" w:cs="宋体"/>
                <w:sz w:val="24"/>
                <w:szCs w:val="24"/>
                <w:highlight w:val="none"/>
              </w:rPr>
            </w:pPr>
            <w:r>
              <w:rPr>
                <w:rFonts w:hint="eastAsia" w:ascii="宋体" w:hAnsi="宋体" w:cs="宋体"/>
                <w:sz w:val="24"/>
                <w:highlight w:val="none"/>
              </w:rPr>
              <w:t>发包人监督部门电话：</w:t>
            </w:r>
          </w:p>
        </w:tc>
        <w:tc>
          <w:tcPr>
            <w:tcW w:w="4498" w:type="dxa"/>
            <w:noWrap w:val="0"/>
            <w:vAlign w:val="center"/>
          </w:tcPr>
          <w:p w14:paraId="76EEBFA3">
            <w:pPr>
              <w:pStyle w:val="17"/>
              <w:framePr w:hSpace="0" w:wrap="auto" w:vAnchor="margin" w:hAnchor="text" w:yAlign="inline"/>
              <w:jc w:val="both"/>
              <w:rPr>
                <w:rFonts w:hint="eastAsia" w:hAnsi="宋体" w:cs="宋体"/>
                <w:szCs w:val="24"/>
                <w:highlight w:val="none"/>
              </w:rPr>
            </w:pPr>
            <w:r>
              <w:rPr>
                <w:rFonts w:hint="eastAsia" w:hAnsi="宋体" w:cs="宋体"/>
                <w:highlight w:val="none"/>
              </w:rPr>
              <w:t>承包人监督部门电话：</w:t>
            </w:r>
          </w:p>
        </w:tc>
      </w:tr>
      <w:tr w14:paraId="075FD879">
        <w:tblPrEx>
          <w:tblCellMar>
            <w:top w:w="0" w:type="dxa"/>
            <w:left w:w="108" w:type="dxa"/>
            <w:bottom w:w="0" w:type="dxa"/>
            <w:right w:w="108" w:type="dxa"/>
          </w:tblCellMar>
        </w:tblPrEx>
        <w:trPr>
          <w:trHeight w:val="912" w:hRule="atLeast"/>
          <w:jc w:val="center"/>
        </w:trPr>
        <w:tc>
          <w:tcPr>
            <w:tcW w:w="4441" w:type="dxa"/>
            <w:noWrap w:val="0"/>
            <w:vAlign w:val="center"/>
          </w:tcPr>
          <w:p w14:paraId="3C53C131">
            <w:pPr>
              <w:pStyle w:val="17"/>
              <w:framePr w:hSpace="0" w:wrap="auto" w:vAnchor="margin" w:hAnchor="text" w:yAlign="inline"/>
              <w:jc w:val="both"/>
              <w:rPr>
                <w:rFonts w:hint="eastAsia" w:hAnsi="宋体" w:cs="宋体"/>
                <w:szCs w:val="24"/>
                <w:highlight w:val="none"/>
              </w:rPr>
            </w:pPr>
            <w:r>
              <w:rPr>
                <w:rFonts w:hint="eastAsia" w:hAnsi="宋体" w:cs="宋体"/>
                <w:highlight w:val="none"/>
              </w:rPr>
              <w:t>发包人：</w:t>
            </w:r>
            <w:r>
              <w:rPr>
                <w:rFonts w:hint="eastAsia" w:hAnsi="宋体" w:cs="宋体"/>
                <w:szCs w:val="24"/>
                <w:highlight w:val="none"/>
                <w:u w:val="single"/>
              </w:rPr>
              <w:t>西安高新技术产业开发区公共项目建设管理中心</w:t>
            </w:r>
            <w:r>
              <w:rPr>
                <w:rFonts w:hint="eastAsia" w:hAnsi="宋体" w:cs="宋体"/>
                <w:highlight w:val="none"/>
              </w:rPr>
              <w:t>（盖单位章）</w:t>
            </w:r>
          </w:p>
        </w:tc>
        <w:tc>
          <w:tcPr>
            <w:tcW w:w="4498" w:type="dxa"/>
            <w:noWrap w:val="0"/>
            <w:vAlign w:val="center"/>
          </w:tcPr>
          <w:p w14:paraId="62EFA955">
            <w:pPr>
              <w:pStyle w:val="17"/>
              <w:framePr w:hSpace="0" w:wrap="auto" w:vAnchor="margin" w:hAnchor="text" w:yAlign="inline"/>
              <w:jc w:val="both"/>
              <w:rPr>
                <w:rFonts w:hint="eastAsia" w:hAnsi="宋体" w:cs="宋体"/>
                <w:szCs w:val="24"/>
                <w:highlight w:val="none"/>
              </w:rPr>
            </w:pPr>
            <w:r>
              <w:rPr>
                <w:rFonts w:hint="eastAsia" w:hAnsi="宋体" w:cs="宋体"/>
                <w:highlight w:val="none"/>
              </w:rPr>
              <w:t>承包人：</w:t>
            </w:r>
            <w:r>
              <w:rPr>
                <w:rFonts w:hint="default" w:ascii="Times New Roman" w:hAnsi="Times New Roman" w:cs="Times New Roman"/>
                <w:color w:val="auto"/>
                <w:sz w:val="24"/>
                <w:highlight w:val="none"/>
                <w:u w:val="single"/>
              </w:rPr>
              <w:t>陕西建工集团股份有限公司</w:t>
            </w:r>
            <w:r>
              <w:rPr>
                <w:rFonts w:hint="eastAsia" w:hAnsi="宋体" w:cs="宋体"/>
                <w:highlight w:val="none"/>
              </w:rPr>
              <w:t>（盖单位章）</w:t>
            </w:r>
          </w:p>
        </w:tc>
      </w:tr>
      <w:tr w14:paraId="74B66C02">
        <w:tblPrEx>
          <w:tblCellMar>
            <w:top w:w="0" w:type="dxa"/>
            <w:left w:w="108" w:type="dxa"/>
            <w:bottom w:w="0" w:type="dxa"/>
            <w:right w:w="108" w:type="dxa"/>
          </w:tblCellMar>
        </w:tblPrEx>
        <w:trPr>
          <w:trHeight w:val="912" w:hRule="atLeast"/>
          <w:jc w:val="center"/>
        </w:trPr>
        <w:tc>
          <w:tcPr>
            <w:tcW w:w="4441" w:type="dxa"/>
            <w:noWrap w:val="0"/>
            <w:vAlign w:val="center"/>
          </w:tcPr>
          <w:p w14:paraId="6742EC6C">
            <w:pPr>
              <w:pStyle w:val="17"/>
              <w:framePr w:hSpace="0" w:wrap="auto" w:vAnchor="margin" w:hAnchor="text" w:yAlign="inline"/>
              <w:jc w:val="both"/>
              <w:rPr>
                <w:rFonts w:hint="eastAsia" w:hAnsi="宋体" w:cs="宋体"/>
                <w:highlight w:val="none"/>
              </w:rPr>
            </w:pPr>
            <w:r>
              <w:rPr>
                <w:rFonts w:hint="eastAsia" w:hAnsi="宋体" w:cs="宋体"/>
                <w:highlight w:val="none"/>
              </w:rPr>
              <w:t>法定代表人或</w:t>
            </w:r>
          </w:p>
          <w:p w14:paraId="26E341B9">
            <w:pPr>
              <w:pStyle w:val="17"/>
              <w:framePr w:hSpace="0" w:wrap="auto" w:vAnchor="margin" w:hAnchor="text" w:yAlign="inline"/>
              <w:jc w:val="both"/>
              <w:rPr>
                <w:rFonts w:hint="eastAsia" w:hAnsi="宋体" w:cs="宋体"/>
                <w:highlight w:val="none"/>
              </w:rPr>
            </w:pPr>
            <w:r>
              <w:rPr>
                <w:rFonts w:hint="eastAsia" w:hAnsi="宋体" w:cs="宋体"/>
                <w:highlight w:val="none"/>
              </w:rPr>
              <w:t>其委托代理人：</w:t>
            </w:r>
            <w:r>
              <w:rPr>
                <w:rFonts w:hint="eastAsia" w:hAnsi="宋体" w:cs="宋体"/>
                <w:highlight w:val="none"/>
                <w:u w:val="single"/>
              </w:rPr>
              <w:t xml:space="preserve">      </w:t>
            </w:r>
            <w:r>
              <w:rPr>
                <w:rFonts w:hint="eastAsia" w:hAnsi="宋体" w:cs="宋体"/>
                <w:highlight w:val="none"/>
              </w:rPr>
              <w:t>（签字或盖章）</w:t>
            </w:r>
          </w:p>
        </w:tc>
        <w:tc>
          <w:tcPr>
            <w:tcW w:w="4498" w:type="dxa"/>
            <w:noWrap w:val="0"/>
            <w:vAlign w:val="center"/>
          </w:tcPr>
          <w:p w14:paraId="56BD5687">
            <w:pPr>
              <w:pStyle w:val="17"/>
              <w:framePr w:hSpace="0" w:wrap="auto" w:vAnchor="margin" w:hAnchor="text" w:yAlign="inline"/>
              <w:jc w:val="both"/>
              <w:rPr>
                <w:rFonts w:hint="eastAsia" w:hAnsi="宋体" w:cs="宋体"/>
                <w:highlight w:val="none"/>
              </w:rPr>
            </w:pPr>
            <w:r>
              <w:rPr>
                <w:rFonts w:hint="eastAsia" w:hAnsi="宋体" w:cs="宋体"/>
                <w:highlight w:val="none"/>
              </w:rPr>
              <w:t>法定代表人或</w:t>
            </w:r>
          </w:p>
          <w:p w14:paraId="53DA044E">
            <w:pPr>
              <w:pStyle w:val="17"/>
              <w:framePr w:hSpace="0" w:wrap="auto" w:vAnchor="margin" w:hAnchor="text" w:yAlign="inline"/>
              <w:jc w:val="both"/>
              <w:rPr>
                <w:rFonts w:hint="eastAsia" w:hAnsi="宋体" w:cs="宋体"/>
                <w:szCs w:val="24"/>
                <w:highlight w:val="none"/>
              </w:rPr>
            </w:pPr>
            <w:r>
              <w:rPr>
                <w:rFonts w:hint="eastAsia" w:hAnsi="宋体" w:cs="宋体"/>
                <w:highlight w:val="none"/>
              </w:rPr>
              <w:t>其委托代理人：</w:t>
            </w:r>
            <w:r>
              <w:rPr>
                <w:rFonts w:hint="eastAsia" w:hAnsi="宋体" w:cs="宋体"/>
                <w:highlight w:val="none"/>
                <w:u w:val="single"/>
              </w:rPr>
              <w:t xml:space="preserve">      </w:t>
            </w:r>
            <w:r>
              <w:rPr>
                <w:rFonts w:hint="eastAsia" w:hAnsi="宋体" w:cs="宋体"/>
                <w:highlight w:val="none"/>
              </w:rPr>
              <w:t>（签字或盖章）</w:t>
            </w:r>
          </w:p>
        </w:tc>
      </w:tr>
      <w:tr w14:paraId="4202767F">
        <w:tblPrEx>
          <w:tblCellMar>
            <w:top w:w="0" w:type="dxa"/>
            <w:left w:w="108" w:type="dxa"/>
            <w:bottom w:w="0" w:type="dxa"/>
            <w:right w:w="108" w:type="dxa"/>
          </w:tblCellMar>
        </w:tblPrEx>
        <w:trPr>
          <w:trHeight w:val="912" w:hRule="atLeast"/>
          <w:jc w:val="center"/>
        </w:trPr>
        <w:tc>
          <w:tcPr>
            <w:tcW w:w="4441" w:type="dxa"/>
            <w:noWrap w:val="0"/>
            <w:vAlign w:val="center"/>
          </w:tcPr>
          <w:p w14:paraId="7FDC1D6A">
            <w:pPr>
              <w:pStyle w:val="17"/>
              <w:framePr w:hSpace="0" w:wrap="auto" w:vAnchor="margin" w:hAnchor="text" w:yAlign="inline"/>
              <w:jc w:val="both"/>
              <w:rPr>
                <w:rFonts w:hint="eastAsia" w:hAnsi="宋体" w:cs="宋体"/>
                <w:szCs w:val="24"/>
                <w:highlight w:val="none"/>
              </w:rPr>
            </w:pPr>
            <w:r>
              <w:rPr>
                <w:rFonts w:hint="eastAsia" w:hAnsi="宋体" w:cs="宋体"/>
                <w:highlight w:val="none"/>
                <w:u w:val="single"/>
              </w:rPr>
              <w:t xml:space="preserve">     </w:t>
            </w:r>
            <w:r>
              <w:rPr>
                <w:rFonts w:hint="eastAsia" w:hAnsi="宋体" w:cs="宋体"/>
                <w:highlight w:val="none"/>
              </w:rPr>
              <w:t>年</w:t>
            </w:r>
            <w:r>
              <w:rPr>
                <w:rFonts w:hint="eastAsia" w:hAnsi="宋体" w:cs="宋体"/>
                <w:highlight w:val="none"/>
                <w:u w:val="single"/>
              </w:rPr>
              <w:t xml:space="preserve">    </w:t>
            </w:r>
            <w:r>
              <w:rPr>
                <w:rFonts w:hint="eastAsia" w:hAnsi="宋体" w:cs="宋体"/>
                <w:highlight w:val="none"/>
              </w:rPr>
              <w:t>月</w:t>
            </w:r>
            <w:r>
              <w:rPr>
                <w:rFonts w:hint="eastAsia" w:hAnsi="宋体" w:cs="宋体"/>
                <w:highlight w:val="none"/>
                <w:u w:val="single"/>
              </w:rPr>
              <w:t xml:space="preserve">    </w:t>
            </w:r>
            <w:r>
              <w:rPr>
                <w:rFonts w:hint="eastAsia" w:hAnsi="宋体" w:cs="宋体"/>
                <w:highlight w:val="none"/>
              </w:rPr>
              <w:t>日</w:t>
            </w:r>
          </w:p>
        </w:tc>
        <w:tc>
          <w:tcPr>
            <w:tcW w:w="4498" w:type="dxa"/>
            <w:noWrap w:val="0"/>
            <w:vAlign w:val="center"/>
          </w:tcPr>
          <w:p w14:paraId="69095899">
            <w:pPr>
              <w:pStyle w:val="17"/>
              <w:framePr w:hSpace="0" w:wrap="auto" w:vAnchor="margin" w:hAnchor="text" w:yAlign="inline"/>
              <w:jc w:val="both"/>
              <w:rPr>
                <w:rFonts w:hint="eastAsia" w:hAnsi="宋体" w:cs="宋体"/>
                <w:szCs w:val="24"/>
                <w:highlight w:val="none"/>
              </w:rPr>
            </w:pPr>
            <w:r>
              <w:rPr>
                <w:rFonts w:hint="eastAsia" w:hAnsi="宋体" w:cs="宋体"/>
                <w:highlight w:val="none"/>
                <w:u w:val="single"/>
              </w:rPr>
              <w:t xml:space="preserve">     </w:t>
            </w:r>
            <w:r>
              <w:rPr>
                <w:rFonts w:hint="eastAsia" w:hAnsi="宋体" w:cs="宋体"/>
                <w:highlight w:val="none"/>
              </w:rPr>
              <w:t>年</w:t>
            </w:r>
            <w:r>
              <w:rPr>
                <w:rFonts w:hint="eastAsia" w:hAnsi="宋体" w:cs="宋体"/>
                <w:highlight w:val="none"/>
                <w:u w:val="single"/>
              </w:rPr>
              <w:t xml:space="preserve">    </w:t>
            </w:r>
            <w:r>
              <w:rPr>
                <w:rFonts w:hint="eastAsia" w:hAnsi="宋体" w:cs="宋体"/>
                <w:highlight w:val="none"/>
              </w:rPr>
              <w:t>月</w:t>
            </w:r>
            <w:r>
              <w:rPr>
                <w:rFonts w:hint="eastAsia" w:hAnsi="宋体" w:cs="宋体"/>
                <w:highlight w:val="none"/>
                <w:u w:val="single"/>
              </w:rPr>
              <w:t xml:space="preserve">    </w:t>
            </w:r>
            <w:r>
              <w:rPr>
                <w:rFonts w:hint="eastAsia" w:hAnsi="宋体" w:cs="宋体"/>
                <w:highlight w:val="none"/>
              </w:rPr>
              <w:t>日</w:t>
            </w:r>
          </w:p>
        </w:tc>
      </w:tr>
    </w:tbl>
    <w:p w14:paraId="45A5D617">
      <w:pPr>
        <w:rPr>
          <w:rFonts w:hint="eastAsia" w:ascii="宋体" w:hAnsi="宋体" w:cs="宋体"/>
          <w:b/>
          <w:snapToGrid w:val="0"/>
          <w:sz w:val="24"/>
          <w:highlight w:val="none"/>
        </w:rPr>
      </w:pPr>
      <w:r>
        <w:rPr>
          <w:rFonts w:hint="eastAsia" w:ascii="宋体" w:hAnsi="宋体" w:cs="宋体"/>
          <w:bCs/>
          <w:snapToGrid w:val="0"/>
          <w:sz w:val="24"/>
          <w:highlight w:val="none"/>
        </w:rPr>
        <w:t>附件六</w:t>
      </w:r>
      <w:r>
        <w:rPr>
          <w:rFonts w:hint="eastAsia" w:ascii="宋体" w:hAnsi="宋体" w:cs="宋体"/>
          <w:b/>
          <w:snapToGrid w:val="0"/>
          <w:sz w:val="24"/>
          <w:highlight w:val="none"/>
        </w:rPr>
        <w:t>： 承包人杜绝转包、违法分包和拖欠农民工工资行为承诺书</w:t>
      </w:r>
    </w:p>
    <w:p w14:paraId="50094B12">
      <w:pPr>
        <w:spacing w:line="440" w:lineRule="exact"/>
        <w:ind w:firstLine="480" w:firstLineChars="200"/>
        <w:rPr>
          <w:rFonts w:hint="eastAsia" w:ascii="宋体" w:hAnsi="宋体" w:cs="宋体"/>
          <w:snapToGrid w:val="0"/>
          <w:sz w:val="24"/>
          <w:highlight w:val="none"/>
          <w:u w:val="single"/>
        </w:rPr>
      </w:pPr>
      <w:r>
        <w:rPr>
          <w:rFonts w:hint="eastAsia" w:ascii="宋体" w:hAnsi="宋体" w:cs="宋体"/>
          <w:snapToGrid w:val="0"/>
          <w:sz w:val="24"/>
          <w:highlight w:val="none"/>
        </w:rPr>
        <w:t>致：</w:t>
      </w:r>
      <w:r>
        <w:rPr>
          <w:rFonts w:hint="eastAsia" w:ascii="宋体" w:hAnsi="宋体" w:cs="宋体"/>
          <w:snapToGrid w:val="0"/>
          <w:sz w:val="24"/>
          <w:highlight w:val="none"/>
          <w:u w:val="single"/>
        </w:rPr>
        <w:t>西安高新技术产业开发区公共项目建设管理中心</w:t>
      </w:r>
    </w:p>
    <w:p w14:paraId="7195A802">
      <w:pPr>
        <w:spacing w:line="440" w:lineRule="exact"/>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鉴于</w:t>
      </w:r>
      <w:r>
        <w:rPr>
          <w:rFonts w:hint="default" w:ascii="Times New Roman" w:hAnsi="Times New Roman" w:cs="Times New Roman"/>
          <w:snapToGrid w:val="0"/>
          <w:color w:val="auto"/>
          <w:sz w:val="24"/>
          <w:highlight w:val="none"/>
          <w:u w:val="single"/>
        </w:rPr>
        <w:t>陕西建工集团股份有限公司</w:t>
      </w:r>
      <w:r>
        <w:rPr>
          <w:rFonts w:hint="eastAsia" w:ascii="宋体" w:hAnsi="宋体" w:cs="宋体"/>
          <w:snapToGrid w:val="0"/>
          <w:sz w:val="24"/>
          <w:highlight w:val="none"/>
        </w:rPr>
        <w:t>（以下简称承包人）拟与</w:t>
      </w:r>
      <w:r>
        <w:rPr>
          <w:rFonts w:hint="eastAsia" w:ascii="宋体" w:hAnsi="宋体" w:cs="宋体"/>
          <w:snapToGrid w:val="0"/>
          <w:sz w:val="24"/>
          <w:highlight w:val="none"/>
          <w:u w:val="single"/>
        </w:rPr>
        <w:t xml:space="preserve"> 西安高新技术产业开发区公共项目建设管理中心  </w:t>
      </w:r>
      <w:r>
        <w:rPr>
          <w:rFonts w:hint="eastAsia" w:ascii="宋体" w:hAnsi="宋体" w:cs="宋体"/>
          <w:snapToGrid w:val="0"/>
          <w:sz w:val="24"/>
          <w:highlight w:val="none"/>
        </w:rPr>
        <w:t>（以下简称发包人）签订</w:t>
      </w:r>
      <w:r>
        <w:rPr>
          <w:rFonts w:hint="eastAsia" w:ascii="宋体" w:hAnsi="宋体" w:cs="宋体"/>
          <w:snapToGrid w:val="0"/>
          <w:sz w:val="24"/>
          <w:highlight w:val="none"/>
          <w:u w:val="single"/>
        </w:rPr>
        <w:t xml:space="preserve"> </w:t>
      </w:r>
      <w:r>
        <w:rPr>
          <w:rFonts w:hint="eastAsia" w:ascii="宋体" w:hAnsi="宋体" w:cs="宋体"/>
          <w:sz w:val="24"/>
          <w:highlight w:val="none"/>
          <w:u w:val="single"/>
          <w:lang w:eastAsia="zh-CN"/>
        </w:rPr>
        <w:t>韦斗大道（纬二十路）（经四十路—造字台路）道路工程EPC工程总承包</w:t>
      </w:r>
      <w:r>
        <w:rPr>
          <w:rFonts w:hint="eastAsia" w:ascii="宋体" w:hAnsi="宋体" w:cs="宋体"/>
          <w:sz w:val="24"/>
          <w:highlight w:val="none"/>
          <w:u w:val="single"/>
        </w:rPr>
        <w:t xml:space="preserve"> </w:t>
      </w:r>
      <w:r>
        <w:rPr>
          <w:rFonts w:hint="eastAsia" w:ascii="宋体" w:hAnsi="宋体" w:cs="宋体"/>
          <w:snapToGrid w:val="0"/>
          <w:sz w:val="24"/>
          <w:highlight w:val="none"/>
        </w:rPr>
        <w:t>的合同协议书，承包人一旦签订合同协议书，承包人将承担合同规定的全部责任和义务。在此（承包人）的法人代表（承包人填写）</w:t>
      </w:r>
      <w:r>
        <w:rPr>
          <w:rFonts w:hint="eastAsia" w:ascii="宋体" w:hAnsi="宋体" w:cs="宋体"/>
          <w:snapToGrid w:val="0"/>
          <w:sz w:val="24"/>
          <w:highlight w:val="none"/>
          <w:u w:val="single"/>
        </w:rPr>
        <w:t xml:space="preserve"> </w:t>
      </w:r>
      <w:r>
        <w:rPr>
          <w:rFonts w:hint="eastAsia" w:ascii="宋体" w:hAnsi="宋体" w:cs="宋体"/>
          <w:snapToGrid w:val="0"/>
          <w:sz w:val="24"/>
          <w:highlight w:val="none"/>
          <w:u w:val="single"/>
          <w:lang w:val="en-US" w:eastAsia="zh-CN"/>
        </w:rPr>
        <w:t>陈琦</w:t>
      </w:r>
      <w:r>
        <w:rPr>
          <w:rFonts w:hint="eastAsia" w:ascii="宋体" w:hAnsi="宋体" w:cs="宋体"/>
          <w:snapToGrid w:val="0"/>
          <w:sz w:val="24"/>
          <w:highlight w:val="none"/>
          <w:u w:val="single"/>
        </w:rPr>
        <w:t xml:space="preserve"> </w:t>
      </w:r>
      <w:r>
        <w:rPr>
          <w:rFonts w:hint="eastAsia" w:ascii="宋体" w:hAnsi="宋体" w:cs="宋体"/>
          <w:snapToGrid w:val="0"/>
          <w:sz w:val="24"/>
          <w:highlight w:val="none"/>
        </w:rPr>
        <w:t>（姓名 ）以合法地位郑重做出如下承诺：</w:t>
      </w:r>
    </w:p>
    <w:p w14:paraId="2E912819">
      <w:pPr>
        <w:spacing w:line="440" w:lineRule="exact"/>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一、承包人在工程施工过程中，承诺严格遵照国家有关规定，不将工程转包或将主体工程违法分包，或以劳务协作名义将工程违法分包给不具备相应资质的施工队伍或个体承包者；</w:t>
      </w:r>
    </w:p>
    <w:p w14:paraId="498044D8">
      <w:pPr>
        <w:spacing w:line="440" w:lineRule="exact"/>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二、承包人在工程施工过程中，承诺严格遵照国家有关规定，与所雇佣劳务人员签署劳务合同并支付劳务费用，并采取必要的措施，保证不拖欠农民工工资。如出现因承包人引起的任何劳务纠纷或诉讼，由承包人承担相应的法律和经济责任；</w:t>
      </w:r>
    </w:p>
    <w:p w14:paraId="4CE298E7">
      <w:pPr>
        <w:spacing w:line="440" w:lineRule="exact"/>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三、承包人承诺出现工程转包、违法分包和拖欠农民工工资的情况后，承包人接受发包人对我们所采取的如下任何处理措施：</w:t>
      </w:r>
    </w:p>
    <w:p w14:paraId="13D29260">
      <w:pPr>
        <w:spacing w:line="440" w:lineRule="exact"/>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1.发包人有权终止承包人在本合同的承包合同，或将本合同工程中部分工作交由其他承包人或特殊承包人完成，（承包人）无条件按照发包人规定的期限退场或接受调遣。在不解除本合同规定的承包人责任和义务的同时，由此引起的责任及相关费用均由承包人承担。</w:t>
      </w:r>
    </w:p>
    <w:p w14:paraId="2EC0ABE4">
      <w:pPr>
        <w:spacing w:line="440" w:lineRule="exact"/>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2.同意发包人从正常支付中扣除相应款项，直接支付所欠工程款和劳务费用。</w:t>
      </w:r>
    </w:p>
    <w:p w14:paraId="7B08B9D1">
      <w:pPr>
        <w:spacing w:line="440" w:lineRule="exact"/>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3.同意承担合同段清场而引起的材料、供货、设备租用、农民工工资和其他相关损失费用。</w:t>
      </w:r>
    </w:p>
    <w:p w14:paraId="0B7C8787">
      <w:pPr>
        <w:spacing w:line="360" w:lineRule="auto"/>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4.</w:t>
      </w:r>
      <w:r>
        <w:rPr>
          <w:rFonts w:hint="eastAsia" w:ascii="宋体" w:hAnsi="宋体" w:cs="宋体"/>
          <w:sz w:val="24"/>
          <w:highlight w:val="none"/>
        </w:rPr>
        <w:t>施工合同签订之日起30天内，承包人须在发包人认可的银行开通农民工工资专用账户并办理农民工工资支付保证金，同时与发包方签订《农民工工资无欠薪承诺书》。</w:t>
      </w:r>
    </w:p>
    <w:p w14:paraId="09448A99">
      <w:pPr>
        <w:spacing w:line="360" w:lineRule="auto"/>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5.发包人支付工程进度款后，承包人须在30日内向劳务作业队支付相应进度款的劳务费用。否则暂停支付工程款。</w:t>
      </w:r>
    </w:p>
    <w:p w14:paraId="07181744">
      <w:pPr>
        <w:spacing w:line="440" w:lineRule="exact"/>
        <w:ind w:firstLine="480" w:firstLineChars="200"/>
        <w:rPr>
          <w:rFonts w:hint="eastAsia" w:ascii="宋体" w:hAnsi="宋体" w:cs="宋体"/>
          <w:snapToGrid w:val="0"/>
          <w:sz w:val="24"/>
          <w:highlight w:val="none"/>
        </w:rPr>
      </w:pPr>
      <w:r>
        <w:rPr>
          <w:rFonts w:hint="eastAsia" w:ascii="宋体" w:hAnsi="宋体" w:cs="宋体"/>
          <w:highlight w:val="none"/>
        </w:rPr>
        <w:t>6.</w:t>
      </w:r>
      <w:r>
        <w:rPr>
          <w:rFonts w:hint="eastAsia" w:ascii="宋体" w:hAnsi="宋体" w:cs="宋体"/>
          <w:snapToGrid w:val="0"/>
          <w:sz w:val="24"/>
          <w:highlight w:val="none"/>
        </w:rPr>
        <w:t xml:space="preserve">承包人还承诺，愿意承担与之相应的连带法律责任和政府相关部门采取的任何规范建设市场管理的行政措施。 </w:t>
      </w:r>
    </w:p>
    <w:p w14:paraId="06E9AC45">
      <w:pPr>
        <w:spacing w:line="440" w:lineRule="exact"/>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7.本承诺自合同签订之日起生效，在发包人向承包人颁发交工证书之日起终止。</w:t>
      </w:r>
    </w:p>
    <w:p w14:paraId="2272EC3A">
      <w:pPr>
        <w:spacing w:line="440" w:lineRule="exact"/>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 xml:space="preserve">                        承包人：       （盖单位章）</w:t>
      </w:r>
    </w:p>
    <w:p w14:paraId="76B26DE1">
      <w:pPr>
        <w:spacing w:line="440" w:lineRule="exact"/>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 xml:space="preserve">                          </w:t>
      </w:r>
    </w:p>
    <w:p w14:paraId="5F1F27CC">
      <w:pPr>
        <w:spacing w:line="440" w:lineRule="exact"/>
        <w:ind w:firstLine="3360" w:firstLineChars="1400"/>
        <w:rPr>
          <w:rFonts w:hint="eastAsia" w:ascii="宋体" w:hAnsi="宋体" w:cs="宋体"/>
          <w:snapToGrid w:val="0"/>
          <w:sz w:val="24"/>
          <w:highlight w:val="none"/>
        </w:rPr>
      </w:pPr>
      <w:r>
        <w:rPr>
          <w:rFonts w:hint="eastAsia" w:ascii="宋体" w:hAnsi="宋体" w:cs="宋体"/>
          <w:snapToGrid w:val="0"/>
          <w:sz w:val="24"/>
          <w:highlight w:val="none"/>
        </w:rPr>
        <w:t>法定代表人或其委托代理人（签字或盖章）：</w:t>
      </w:r>
    </w:p>
    <w:p w14:paraId="7844B403">
      <w:pPr>
        <w:spacing w:line="360" w:lineRule="auto"/>
        <w:ind w:firstLine="480" w:firstLineChars="200"/>
        <w:rPr>
          <w:rFonts w:hint="eastAsia" w:ascii="宋体" w:hAnsi="宋体" w:cs="宋体"/>
          <w:snapToGrid w:val="0"/>
          <w:sz w:val="24"/>
          <w:highlight w:val="none"/>
        </w:rPr>
      </w:pPr>
      <w:r>
        <w:rPr>
          <w:rFonts w:hint="eastAsia" w:ascii="宋体" w:hAnsi="宋体" w:cs="宋体"/>
          <w:snapToGrid w:val="0"/>
          <w:sz w:val="24"/>
          <w:highlight w:val="none"/>
        </w:rPr>
        <w:t xml:space="preserve">                                                   </w:t>
      </w:r>
    </w:p>
    <w:p w14:paraId="3C9C4C2D">
      <w:pPr>
        <w:spacing w:line="360" w:lineRule="auto"/>
        <w:ind w:firstLine="6000" w:firstLineChars="2500"/>
        <w:rPr>
          <w:rFonts w:hint="eastAsia" w:ascii="宋体" w:hAnsi="宋体" w:cs="宋体"/>
          <w:snapToGrid w:val="0"/>
          <w:sz w:val="24"/>
          <w:highlight w:val="none"/>
        </w:rPr>
      </w:pPr>
      <w:r>
        <w:rPr>
          <w:rFonts w:hint="eastAsia" w:ascii="宋体" w:hAnsi="宋体" w:cs="宋体"/>
          <w:snapToGrid w:val="0"/>
          <w:sz w:val="24"/>
          <w:highlight w:val="none"/>
        </w:rPr>
        <w:t>年    月    日</w:t>
      </w:r>
    </w:p>
    <w:p w14:paraId="1588914D">
      <w:pPr>
        <w:rPr>
          <w:rFonts w:hint="eastAsia" w:ascii="宋体" w:hAnsi="宋体" w:cs="宋体"/>
          <w:sz w:val="24"/>
          <w:highlight w:val="none"/>
        </w:rPr>
      </w:pPr>
    </w:p>
    <w:p w14:paraId="6DCFCFBE">
      <w:pPr>
        <w:jc w:val="center"/>
        <w:rPr>
          <w:rFonts w:hint="eastAsia" w:ascii="宋体" w:hAnsi="宋体" w:cs="宋体"/>
          <w:b/>
          <w:bCs/>
          <w:kern w:val="0"/>
          <w:sz w:val="28"/>
          <w:szCs w:val="28"/>
          <w:highlight w:val="none"/>
        </w:rPr>
      </w:pPr>
      <w:r>
        <w:rPr>
          <w:rFonts w:hint="eastAsia" w:ascii="宋体" w:hAnsi="宋体" w:cs="宋体"/>
          <w:b/>
          <w:bCs/>
          <w:kern w:val="0"/>
          <w:sz w:val="28"/>
          <w:szCs w:val="28"/>
          <w:highlight w:val="none"/>
        </w:rPr>
        <w:t>农民工工资无欠薪承诺书</w:t>
      </w:r>
    </w:p>
    <w:p w14:paraId="001B1D80">
      <w:pPr>
        <w:widowControl/>
        <w:spacing w:line="440" w:lineRule="exact"/>
        <w:jc w:val="left"/>
        <w:rPr>
          <w:rFonts w:hint="eastAsia" w:ascii="宋体" w:hAnsi="宋体" w:cs="宋体"/>
          <w:kern w:val="0"/>
          <w:sz w:val="28"/>
          <w:szCs w:val="28"/>
          <w:highlight w:val="none"/>
        </w:rPr>
      </w:pPr>
    </w:p>
    <w:p w14:paraId="26C3B0B3">
      <w:pPr>
        <w:widowControl/>
        <w:spacing w:line="440" w:lineRule="exact"/>
        <w:jc w:val="left"/>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u w:val="single"/>
        </w:rPr>
        <w:t>西安高新技术产业开发区公共项目建设管理中心</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 xml:space="preserve"> </w:t>
      </w:r>
    </w:p>
    <w:p w14:paraId="4F54658D">
      <w:pPr>
        <w:widowControl/>
        <w:spacing w:line="44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我是</w:t>
      </w:r>
      <w:r>
        <w:rPr>
          <w:rFonts w:hint="eastAsia" w:ascii="宋体" w:hAnsi="宋体" w:cs="宋体"/>
          <w:kern w:val="0"/>
          <w:sz w:val="24"/>
          <w:szCs w:val="24"/>
          <w:highlight w:val="none"/>
          <w:u w:val="single"/>
        </w:rPr>
        <w:t xml:space="preserve"> </w:t>
      </w:r>
      <w:r>
        <w:rPr>
          <w:rFonts w:hint="default" w:ascii="Times New Roman" w:hAnsi="Times New Roman" w:cs="Times New Roman"/>
          <w:color w:val="auto"/>
          <w:kern w:val="0"/>
          <w:sz w:val="24"/>
          <w:szCs w:val="24"/>
          <w:highlight w:val="none"/>
          <w:u w:val="single"/>
        </w:rPr>
        <w:t>陕西建工集团股份有限公司</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公司法定代表人(或委托代理人)</w:t>
      </w:r>
      <w:r>
        <w:rPr>
          <w:rFonts w:hint="default" w:ascii="Times New Roman" w:hAnsi="Times New Roman" w:cs="Times New Roman"/>
          <w:color w:val="auto"/>
          <w:kern w:val="0"/>
          <w:sz w:val="24"/>
          <w:szCs w:val="24"/>
          <w:highlight w:val="none"/>
          <w:u w:val="single"/>
        </w:rPr>
        <w:t xml:space="preserve"> </w:t>
      </w:r>
      <w:r>
        <w:rPr>
          <w:rFonts w:hint="default" w:ascii="Times New Roman" w:hAnsi="Times New Roman" w:cs="Times New Roman"/>
          <w:color w:val="auto"/>
          <w:kern w:val="0"/>
          <w:sz w:val="24"/>
          <w:szCs w:val="24"/>
          <w:highlight w:val="none"/>
          <w:u w:val="single"/>
          <w:lang w:val="en-US" w:eastAsia="zh-CN"/>
        </w:rPr>
        <w:t>陈琦</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，为了保证农民工工资按时发放，避免拖欠克扣农民工工资的现象发生，我代表公司对此次中标的工程（</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eastAsia="zh-CN"/>
        </w:rPr>
        <w:t>韦斗大道（纬二十路）（经四十路—造字台路）道路工程EPC工程总承包</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项目），就农民工工资问题特向</w:t>
      </w:r>
      <w:r>
        <w:rPr>
          <w:rFonts w:hint="eastAsia" w:ascii="宋体" w:hAnsi="宋体" w:cs="宋体"/>
          <w:kern w:val="0"/>
          <w:sz w:val="24"/>
          <w:szCs w:val="24"/>
          <w:highlight w:val="none"/>
          <w:lang w:eastAsia="zh-CN"/>
        </w:rPr>
        <w:t>贵方</w:t>
      </w:r>
      <w:r>
        <w:rPr>
          <w:rFonts w:hint="eastAsia" w:ascii="宋体" w:hAnsi="宋体" w:cs="宋体"/>
          <w:kern w:val="0"/>
          <w:sz w:val="24"/>
          <w:szCs w:val="24"/>
          <w:highlight w:val="none"/>
        </w:rPr>
        <w:t>郑重承诺如下:</w:t>
      </w:r>
    </w:p>
    <w:p w14:paraId="5E1C9A43">
      <w:pPr>
        <w:widowControl/>
        <w:numPr>
          <w:ilvl w:val="0"/>
          <w:numId w:val="6"/>
        </w:numPr>
        <w:spacing w:line="44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我公司已充分认识到农民工工资发放的重要性，中标后在组建项目领导班子的同时组建以项目经理</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武国栋</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为组长的农民工工资及相关问题专项解决工作组。工作组为常设机构，随时负责解决与农民工有关的所有事宜。</w:t>
      </w:r>
    </w:p>
    <w:p w14:paraId="4DF2DCA8">
      <w:pPr>
        <w:widowControl/>
        <w:numPr>
          <w:ilvl w:val="0"/>
          <w:numId w:val="6"/>
        </w:numPr>
        <w:spacing w:line="44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在支付农民工工资时，编制考勤表、花名册、工资支付表，如实记录工资支付情况，并将有关记录保存备案。</w:t>
      </w:r>
    </w:p>
    <w:p w14:paraId="4F2CE9D1">
      <w:pPr>
        <w:widowControl/>
        <w:numPr>
          <w:ilvl w:val="0"/>
          <w:numId w:val="6"/>
        </w:numPr>
        <w:spacing w:line="44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对于向</w:t>
      </w:r>
      <w:r>
        <w:rPr>
          <w:rFonts w:hint="eastAsia" w:ascii="宋体" w:hAnsi="宋体" w:cs="宋体"/>
          <w:kern w:val="0"/>
          <w:sz w:val="24"/>
          <w:szCs w:val="24"/>
          <w:highlight w:val="none"/>
          <w:lang w:eastAsia="zh-CN"/>
        </w:rPr>
        <w:t>贵方</w:t>
      </w:r>
      <w:r>
        <w:rPr>
          <w:rFonts w:hint="eastAsia" w:ascii="宋体" w:hAnsi="宋体" w:cs="宋体"/>
          <w:kern w:val="0"/>
          <w:sz w:val="24"/>
          <w:szCs w:val="24"/>
          <w:highlight w:val="none"/>
        </w:rPr>
        <w:t>提供的相关农民工工资资料，保证其完整性及真实性。</w:t>
      </w:r>
    </w:p>
    <w:p w14:paraId="0F4C3EF0">
      <w:pPr>
        <w:widowControl/>
        <w:numPr>
          <w:ilvl w:val="0"/>
          <w:numId w:val="6"/>
        </w:numPr>
        <w:spacing w:line="44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我们保证绝不违反规定将工程分包给不具备用工主体资格的组织或个人，否则，</w:t>
      </w:r>
      <w:r>
        <w:rPr>
          <w:rFonts w:hint="eastAsia" w:ascii="宋体" w:hAnsi="宋体" w:cs="宋体"/>
          <w:kern w:val="0"/>
          <w:sz w:val="24"/>
          <w:szCs w:val="24"/>
          <w:highlight w:val="none"/>
          <w:lang w:eastAsia="zh-CN"/>
        </w:rPr>
        <w:t>贵方</w:t>
      </w:r>
      <w:r>
        <w:rPr>
          <w:rFonts w:hint="eastAsia" w:ascii="宋体" w:hAnsi="宋体" w:cs="宋体"/>
          <w:kern w:val="0"/>
          <w:sz w:val="24"/>
          <w:szCs w:val="24"/>
          <w:highlight w:val="none"/>
        </w:rPr>
        <w:t>司有权要求其无条件退场;我公司负责处理善后事宜，如出现群访、闹访、越级上访等滋事事件，我公司负全部责任，并接受</w:t>
      </w:r>
      <w:r>
        <w:rPr>
          <w:rFonts w:hint="eastAsia" w:ascii="宋体" w:hAnsi="宋体" w:cs="宋体"/>
          <w:kern w:val="0"/>
          <w:sz w:val="24"/>
          <w:szCs w:val="24"/>
          <w:highlight w:val="none"/>
          <w:lang w:eastAsia="zh-CN"/>
        </w:rPr>
        <w:t>贵方</w:t>
      </w:r>
      <w:r>
        <w:rPr>
          <w:rFonts w:hint="eastAsia" w:ascii="宋体" w:hAnsi="宋体" w:cs="宋体"/>
          <w:kern w:val="0"/>
          <w:sz w:val="24"/>
          <w:szCs w:val="24"/>
          <w:highlight w:val="none"/>
        </w:rPr>
        <w:t>对我公司每次10000元以上的违约处罚。</w:t>
      </w:r>
    </w:p>
    <w:p w14:paraId="7DE1C73F">
      <w:pPr>
        <w:widowControl/>
        <w:numPr>
          <w:ilvl w:val="0"/>
          <w:numId w:val="6"/>
        </w:numPr>
        <w:spacing w:line="44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我公司承诺按时发放农民工工资。为避免出现拖欠或克扣农民工工资等现象，我公司建立了农民工资储备金应急机制，并承诺不因拖欠农民工资而引发群体性上访事件。</w:t>
      </w:r>
    </w:p>
    <w:p w14:paraId="5BBD38A0">
      <w:pPr>
        <w:widowControl/>
        <w:numPr>
          <w:ilvl w:val="0"/>
          <w:numId w:val="6"/>
        </w:numPr>
        <w:spacing w:line="44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我公司在支付农民工资时，随时接受监督检查，并对提出的质疑做出合理解释。</w:t>
      </w:r>
    </w:p>
    <w:p w14:paraId="34A5C58D">
      <w:pPr>
        <w:widowControl/>
        <w:numPr>
          <w:ilvl w:val="0"/>
          <w:numId w:val="6"/>
        </w:numPr>
        <w:spacing w:line="44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我公司保证不出现上访、群访、闹访，若由我公司未处理好农民工工资与农民工有关的所有事宜而产生纠纷（如投诉、打架、滋事等事件)由此或其他给</w:t>
      </w:r>
      <w:r>
        <w:rPr>
          <w:rFonts w:hint="eastAsia" w:ascii="宋体" w:hAnsi="宋体" w:cs="宋体"/>
          <w:kern w:val="0"/>
          <w:sz w:val="24"/>
          <w:szCs w:val="24"/>
          <w:highlight w:val="none"/>
          <w:lang w:eastAsia="zh-CN"/>
        </w:rPr>
        <w:t>贵方</w:t>
      </w:r>
      <w:r>
        <w:rPr>
          <w:rFonts w:hint="eastAsia" w:ascii="宋体" w:hAnsi="宋体" w:cs="宋体"/>
          <w:kern w:val="0"/>
          <w:sz w:val="24"/>
          <w:szCs w:val="24"/>
          <w:highlight w:val="none"/>
        </w:rPr>
        <w:t>造成恶劣影响或干扰</w:t>
      </w:r>
      <w:r>
        <w:rPr>
          <w:rFonts w:hint="eastAsia" w:ascii="宋体" w:hAnsi="宋体" w:cs="宋体"/>
          <w:kern w:val="0"/>
          <w:sz w:val="24"/>
          <w:szCs w:val="24"/>
          <w:highlight w:val="none"/>
          <w:lang w:eastAsia="zh-CN"/>
        </w:rPr>
        <w:t>贵方</w:t>
      </w:r>
      <w:r>
        <w:rPr>
          <w:rFonts w:hint="eastAsia" w:ascii="宋体" w:hAnsi="宋体" w:cs="宋体"/>
          <w:kern w:val="0"/>
          <w:sz w:val="24"/>
          <w:szCs w:val="24"/>
          <w:highlight w:val="none"/>
        </w:rPr>
        <w:t>正常工作，我公司愿接受</w:t>
      </w:r>
      <w:r>
        <w:rPr>
          <w:rFonts w:hint="eastAsia" w:ascii="宋体" w:hAnsi="宋体" w:cs="宋体"/>
          <w:kern w:val="0"/>
          <w:sz w:val="24"/>
          <w:szCs w:val="24"/>
          <w:highlight w:val="none"/>
          <w:lang w:eastAsia="zh-CN"/>
        </w:rPr>
        <w:t>贵方</w:t>
      </w:r>
      <w:r>
        <w:rPr>
          <w:rFonts w:hint="eastAsia" w:ascii="宋体" w:hAnsi="宋体" w:cs="宋体"/>
          <w:kern w:val="0"/>
          <w:sz w:val="24"/>
          <w:szCs w:val="24"/>
          <w:highlight w:val="none"/>
        </w:rPr>
        <w:t>对我公司每次人民币50000元的违约处罚;</w:t>
      </w:r>
      <w:r>
        <w:rPr>
          <w:rFonts w:hint="eastAsia" w:ascii="宋体" w:hAnsi="宋体" w:cs="宋体"/>
          <w:kern w:val="0"/>
          <w:sz w:val="24"/>
          <w:szCs w:val="24"/>
          <w:highlight w:val="none"/>
          <w:lang w:eastAsia="zh-CN"/>
        </w:rPr>
        <w:t>贵方</w:t>
      </w:r>
      <w:r>
        <w:rPr>
          <w:rFonts w:hint="eastAsia" w:ascii="宋体" w:hAnsi="宋体" w:cs="宋体"/>
          <w:kern w:val="0"/>
          <w:sz w:val="24"/>
          <w:szCs w:val="24"/>
          <w:highlight w:val="none"/>
        </w:rPr>
        <w:t>有权对导致纠纷的事件进行处理，所发生费用</w:t>
      </w:r>
      <w:r>
        <w:rPr>
          <w:rFonts w:hint="eastAsia" w:ascii="宋体" w:hAnsi="宋体" w:cs="宋体"/>
          <w:kern w:val="0"/>
          <w:sz w:val="24"/>
          <w:szCs w:val="24"/>
          <w:highlight w:val="none"/>
          <w:lang w:eastAsia="zh-CN"/>
        </w:rPr>
        <w:t>贵方</w:t>
      </w:r>
      <w:r>
        <w:rPr>
          <w:rFonts w:hint="eastAsia" w:ascii="宋体" w:hAnsi="宋体" w:cs="宋体"/>
          <w:kern w:val="0"/>
          <w:sz w:val="24"/>
          <w:szCs w:val="24"/>
          <w:highlight w:val="none"/>
        </w:rPr>
        <w:t>有权从支付给我公司工程款或质保金中扣除，无需征得我公司同意。</w:t>
      </w:r>
    </w:p>
    <w:p w14:paraId="5C9531D0">
      <w:pPr>
        <w:widowControl/>
        <w:spacing w:line="44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特此承诺</w:t>
      </w:r>
    </w:p>
    <w:p w14:paraId="5D183A6C">
      <w:pPr>
        <w:widowControl/>
        <w:spacing w:line="440" w:lineRule="exact"/>
        <w:ind w:right="360"/>
        <w:jc w:val="center"/>
        <w:rPr>
          <w:rFonts w:hint="eastAsia" w:ascii="宋体" w:hAnsi="宋体" w:cs="宋体"/>
          <w:kern w:val="0"/>
          <w:sz w:val="24"/>
          <w:szCs w:val="24"/>
          <w:highlight w:val="none"/>
        </w:rPr>
      </w:pPr>
      <w:r>
        <w:rPr>
          <w:rFonts w:hint="eastAsia" w:ascii="宋体" w:hAnsi="宋体" w:cs="宋体"/>
          <w:kern w:val="0"/>
          <w:sz w:val="24"/>
          <w:szCs w:val="24"/>
          <w:highlight w:val="none"/>
        </w:rPr>
        <w:t xml:space="preserve">                                   承诺单位:        </w:t>
      </w:r>
    </w:p>
    <w:p w14:paraId="57D4430F">
      <w:pPr>
        <w:widowControl/>
        <w:spacing w:line="440" w:lineRule="exact"/>
        <w:ind w:right="480" w:firstLine="3120" w:firstLineChars="1300"/>
        <w:rPr>
          <w:rFonts w:hint="eastAsia" w:ascii="宋体" w:hAnsi="宋体" w:cs="宋体"/>
          <w:kern w:val="0"/>
          <w:sz w:val="24"/>
          <w:szCs w:val="24"/>
          <w:highlight w:val="none"/>
        </w:rPr>
      </w:pPr>
      <w:r>
        <w:rPr>
          <w:rFonts w:hint="eastAsia" w:ascii="宋体" w:hAnsi="宋体" w:cs="宋体"/>
          <w:kern w:val="0"/>
          <w:sz w:val="24"/>
          <w:szCs w:val="24"/>
          <w:highlight w:val="none"/>
        </w:rPr>
        <w:t xml:space="preserve">法定代表人(或委托代理人): </w:t>
      </w:r>
    </w:p>
    <w:p w14:paraId="4A0A0BF4">
      <w:pPr>
        <w:spacing w:line="440" w:lineRule="exact"/>
        <w:rPr>
          <w:rFonts w:hint="eastAsia" w:ascii="宋体" w:hAnsi="宋体" w:cs="宋体"/>
          <w:sz w:val="21"/>
          <w:szCs w:val="22"/>
          <w:highlight w:val="none"/>
        </w:rPr>
      </w:pPr>
      <w:r>
        <w:rPr>
          <w:rFonts w:hint="eastAsia" w:ascii="宋体" w:hAnsi="宋体" w:cs="宋体"/>
          <w:kern w:val="0"/>
          <w:sz w:val="24"/>
          <w:szCs w:val="24"/>
          <w:highlight w:val="none"/>
        </w:rPr>
        <w:t xml:space="preserve">                                            年    月    日  </w:t>
      </w:r>
    </w:p>
    <w:p w14:paraId="7961D2A5">
      <w:pPr>
        <w:rPr>
          <w:rFonts w:hint="eastAsia" w:ascii="宋体" w:hAnsi="宋体" w:cs="宋体"/>
          <w:sz w:val="28"/>
          <w:szCs w:val="24"/>
          <w:highlight w:val="none"/>
        </w:rPr>
      </w:pPr>
      <w:r>
        <w:rPr>
          <w:rFonts w:hint="eastAsia" w:ascii="宋体" w:hAnsi="宋体" w:cs="宋体"/>
          <w:sz w:val="28"/>
          <w:szCs w:val="24"/>
          <w:highlight w:val="none"/>
        </w:rPr>
        <w:br w:type="page"/>
      </w:r>
      <w:r>
        <w:rPr>
          <w:rFonts w:hint="eastAsia" w:ascii="宋体" w:hAnsi="宋体" w:cs="宋体"/>
          <w:sz w:val="28"/>
          <w:szCs w:val="24"/>
          <w:highlight w:val="none"/>
        </w:rPr>
        <w:t>附件七：联合体协议书</w:t>
      </w:r>
    </w:p>
    <w:p w14:paraId="5FC09A11">
      <w:pPr>
        <w:rPr>
          <w:rFonts w:hint="eastAsia" w:ascii="宋体" w:hAnsi="宋体" w:cs="宋体"/>
          <w:sz w:val="28"/>
          <w:szCs w:val="24"/>
          <w:highlight w:val="none"/>
        </w:rPr>
      </w:pPr>
      <w:r>
        <w:rPr>
          <w:rFonts w:hint="eastAsia" w:ascii="宋体" w:hAnsi="宋体" w:eastAsia="宋体" w:cs="宋体"/>
          <w:sz w:val="28"/>
          <w:szCs w:val="24"/>
          <w:highlight w:val="none"/>
          <w:lang w:eastAsia="zh-CN"/>
        </w:rPr>
        <w:drawing>
          <wp:inline distT="0" distB="0" distL="114300" distR="114300">
            <wp:extent cx="5756275" cy="8140700"/>
            <wp:effectExtent l="0" t="0" r="15875" b="12700"/>
            <wp:docPr id="12" name="图片 12" descr="投标联合体协议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投标联合体协议书_01"/>
                    <pic:cNvPicPr>
                      <a:picLocks noChangeAspect="1"/>
                    </pic:cNvPicPr>
                  </pic:nvPicPr>
                  <pic:blipFill>
                    <a:blip r:embed="rId14"/>
                    <a:stretch>
                      <a:fillRect/>
                    </a:stretch>
                  </pic:blipFill>
                  <pic:spPr>
                    <a:xfrm>
                      <a:off x="0" y="0"/>
                      <a:ext cx="5756275" cy="8140700"/>
                    </a:xfrm>
                    <a:prstGeom prst="rect">
                      <a:avLst/>
                    </a:prstGeom>
                  </pic:spPr>
                </pic:pic>
              </a:graphicData>
            </a:graphic>
          </wp:inline>
        </w:drawing>
      </w:r>
    </w:p>
    <w:p w14:paraId="627EC4A6">
      <w:pPr>
        <w:rPr>
          <w:rFonts w:hint="eastAsia" w:ascii="宋体" w:hAnsi="宋体" w:eastAsia="宋体" w:cs="宋体"/>
          <w:sz w:val="28"/>
          <w:szCs w:val="24"/>
          <w:highlight w:val="none"/>
          <w:lang w:eastAsia="zh-CN"/>
        </w:rPr>
      </w:pPr>
      <w:r>
        <w:rPr>
          <w:rFonts w:hint="eastAsia" w:ascii="宋体" w:hAnsi="宋体" w:eastAsia="宋体" w:cs="宋体"/>
          <w:sz w:val="28"/>
          <w:szCs w:val="24"/>
          <w:highlight w:val="none"/>
          <w:lang w:eastAsia="zh-CN"/>
        </w:rPr>
        <w:drawing>
          <wp:inline distT="0" distB="0" distL="114300" distR="114300">
            <wp:extent cx="6049645" cy="8555355"/>
            <wp:effectExtent l="0" t="0" r="8255" b="17145"/>
            <wp:docPr id="11" name="图片 11" descr="投标联合体协议书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投标联合体协议书_02"/>
                    <pic:cNvPicPr>
                      <a:picLocks noChangeAspect="1"/>
                    </pic:cNvPicPr>
                  </pic:nvPicPr>
                  <pic:blipFill>
                    <a:blip r:embed="rId15"/>
                    <a:stretch>
                      <a:fillRect/>
                    </a:stretch>
                  </pic:blipFill>
                  <pic:spPr>
                    <a:xfrm>
                      <a:off x="0" y="0"/>
                      <a:ext cx="6049645" cy="8555355"/>
                    </a:xfrm>
                    <a:prstGeom prst="rect">
                      <a:avLst/>
                    </a:prstGeom>
                  </pic:spPr>
                </pic:pic>
              </a:graphicData>
            </a:graphic>
          </wp:inline>
        </w:drawing>
      </w:r>
      <w:r>
        <w:rPr>
          <w:rFonts w:hint="eastAsia" w:ascii="宋体" w:hAnsi="宋体" w:eastAsia="宋体" w:cs="宋体"/>
          <w:sz w:val="28"/>
          <w:szCs w:val="24"/>
          <w:highlight w:val="none"/>
          <w:lang w:eastAsia="zh-CN"/>
        </w:rPr>
        <w:drawing>
          <wp:inline distT="0" distB="0" distL="114300" distR="114300">
            <wp:extent cx="6236335" cy="8818880"/>
            <wp:effectExtent l="0" t="0" r="12065" b="1270"/>
            <wp:docPr id="10" name="图片 10" descr="投标联合体协议书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投标联合体协议书_03"/>
                    <pic:cNvPicPr>
                      <a:picLocks noChangeAspect="1"/>
                    </pic:cNvPicPr>
                  </pic:nvPicPr>
                  <pic:blipFill>
                    <a:blip r:embed="rId16"/>
                    <a:stretch>
                      <a:fillRect/>
                    </a:stretch>
                  </pic:blipFill>
                  <pic:spPr>
                    <a:xfrm>
                      <a:off x="0" y="0"/>
                      <a:ext cx="6236335" cy="8818880"/>
                    </a:xfrm>
                    <a:prstGeom prst="rect">
                      <a:avLst/>
                    </a:prstGeom>
                  </pic:spPr>
                </pic:pic>
              </a:graphicData>
            </a:graphic>
          </wp:inline>
        </w:drawing>
      </w:r>
    </w:p>
    <w:p w14:paraId="13322CF4">
      <w:pPr>
        <w:rPr>
          <w:rFonts w:hint="eastAsia" w:ascii="宋体" w:hAnsi="宋体" w:cs="宋体"/>
          <w:sz w:val="22"/>
          <w:szCs w:val="24"/>
          <w:highlight w:val="none"/>
        </w:rPr>
      </w:pPr>
      <w:r>
        <w:rPr>
          <w:rFonts w:hint="eastAsia" w:ascii="宋体" w:hAnsi="宋体" w:cs="宋体"/>
          <w:sz w:val="28"/>
          <w:szCs w:val="24"/>
          <w:highlight w:val="none"/>
        </w:rPr>
        <w:t>附件八：</w:t>
      </w:r>
    </w:p>
    <w:p w14:paraId="65365E73">
      <w:pPr>
        <w:pStyle w:val="2"/>
        <w:spacing w:before="312" w:beforeLines="100" w:after="312" w:afterLines="100" w:line="240" w:lineRule="auto"/>
        <w:jc w:val="center"/>
        <w:rPr>
          <w:rFonts w:hint="eastAsia" w:ascii="宋体" w:hAnsi="宋体" w:cs="宋体"/>
          <w:sz w:val="48"/>
          <w:szCs w:val="48"/>
          <w:highlight w:val="none"/>
        </w:rPr>
      </w:pPr>
      <w:r>
        <w:rPr>
          <w:rFonts w:hint="eastAsia" w:ascii="宋体" w:hAnsi="宋体" w:cs="宋体"/>
          <w:sz w:val="48"/>
          <w:szCs w:val="48"/>
          <w:highlight w:val="none"/>
        </w:rPr>
        <w:t>道路技术标准和要求</w:t>
      </w:r>
    </w:p>
    <w:p w14:paraId="55926CAA">
      <w:pPr>
        <w:spacing w:line="360" w:lineRule="auto"/>
        <w:ind w:firstLine="560" w:firstLineChars="200"/>
        <w:rPr>
          <w:rFonts w:hint="eastAsia" w:ascii="宋体" w:hAnsi="宋体" w:cs="宋体"/>
          <w:sz w:val="22"/>
          <w:szCs w:val="24"/>
          <w:highlight w:val="none"/>
        </w:rPr>
      </w:pPr>
      <w:r>
        <w:rPr>
          <w:rFonts w:hint="eastAsia" w:ascii="宋体" w:hAnsi="宋体" w:cs="宋体"/>
          <w:sz w:val="28"/>
          <w:szCs w:val="24"/>
          <w:highlight w:val="none"/>
        </w:rPr>
        <w:t>一、依据设计文件的要求，本招标工程项目的材料、设备、施工须达到所涉及到的现行中华人民共和国以及省、自治区、直辖市或行业的工程建设标准、规范的要求。</w:t>
      </w:r>
    </w:p>
    <w:p w14:paraId="7EC7D00E">
      <w:pPr>
        <w:spacing w:line="360" w:lineRule="auto"/>
        <w:rPr>
          <w:rFonts w:hint="eastAsia" w:ascii="宋体" w:hAnsi="宋体" w:cs="宋体"/>
          <w:sz w:val="28"/>
          <w:szCs w:val="24"/>
          <w:highlight w:val="none"/>
        </w:rPr>
      </w:pPr>
      <w:r>
        <w:rPr>
          <w:rFonts w:hint="eastAsia" w:ascii="宋体" w:hAnsi="宋体" w:cs="宋体"/>
          <w:sz w:val="28"/>
          <w:szCs w:val="24"/>
          <w:highlight w:val="none"/>
        </w:rPr>
        <w:t xml:space="preserve">    二、根据工程设计要求，该项工程项目的材料、设备、施工除必须达到上述第一条标准外，还应满足设计要求和业主在招标文件中的有关要求。</w:t>
      </w:r>
    </w:p>
    <w:p w14:paraId="2398DE6E">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三、该工程项目的材料、设备、施工如无上述第一、二条的标准，在材料、设备的定货采购和施工安装时，应出具生产厂家或施工安装企业在技术监督部门已备案企业标准，并经监理和业主批准后方可实施。</w:t>
      </w:r>
    </w:p>
    <w:p w14:paraId="0F3ED005">
      <w:pPr>
        <w:spacing w:before="156" w:beforeLines="50" w:after="156" w:afterLines="50" w:line="360" w:lineRule="auto"/>
        <w:ind w:firstLine="560" w:firstLineChars="200"/>
        <w:rPr>
          <w:rFonts w:hint="eastAsia" w:ascii="宋体" w:hAnsi="宋体" w:cs="宋体"/>
          <w:b/>
          <w:sz w:val="32"/>
          <w:szCs w:val="32"/>
          <w:highlight w:val="none"/>
        </w:rPr>
      </w:pPr>
      <w:r>
        <w:rPr>
          <w:rFonts w:hint="eastAsia" w:ascii="宋体" w:hAnsi="宋体" w:cs="宋体"/>
          <w:sz w:val="28"/>
          <w:szCs w:val="24"/>
          <w:highlight w:val="none"/>
        </w:rPr>
        <w:t>四、给排水井盖技术要求</w:t>
      </w:r>
    </w:p>
    <w:p w14:paraId="19B4F21F">
      <w:pPr>
        <w:spacing w:line="360" w:lineRule="auto"/>
        <w:ind w:firstLine="420" w:firstLineChars="150"/>
        <w:rPr>
          <w:rFonts w:hint="eastAsia" w:ascii="宋体" w:hAnsi="宋体" w:cs="宋体"/>
          <w:sz w:val="28"/>
          <w:szCs w:val="24"/>
          <w:highlight w:val="none"/>
        </w:rPr>
      </w:pPr>
      <w:r>
        <w:rPr>
          <w:rFonts w:hint="eastAsia" w:ascii="宋体" w:hAnsi="宋体" w:cs="宋体"/>
          <w:sz w:val="28"/>
          <w:szCs w:val="24"/>
          <w:highlight w:val="none"/>
        </w:rPr>
        <w:t>1、检查井井盖相关标准</w:t>
      </w:r>
    </w:p>
    <w:p w14:paraId="159D0EA0">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（1）《检查井盖》（GB/T 23858-2009）；</w:t>
      </w:r>
    </w:p>
    <w:p w14:paraId="5B985949">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（2）《单层、双层井盖及踏步》（14S501-1</w:t>
      </w:r>
      <w:r>
        <w:rPr>
          <w:rFonts w:hint="eastAsia" w:ascii="宋体" w:hAnsi="宋体" w:cs="宋体"/>
          <w:sz w:val="28"/>
          <w:szCs w:val="24"/>
          <w:highlight w:val="none"/>
          <w:lang w:eastAsia="zh-CN"/>
        </w:rPr>
        <w:t>—</w:t>
      </w:r>
      <w:r>
        <w:rPr>
          <w:rFonts w:hint="eastAsia" w:ascii="宋体" w:hAnsi="宋体" w:cs="宋体"/>
          <w:sz w:val="28"/>
          <w:szCs w:val="24"/>
          <w:highlight w:val="none"/>
        </w:rPr>
        <w:t>2）；</w:t>
      </w:r>
    </w:p>
    <w:p w14:paraId="1128891F">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（3）《球墨铸铁件》（GB/T 1348-2009）；</w:t>
      </w:r>
    </w:p>
    <w:p w14:paraId="0A55E5D7">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（4）《铸件 尺寸公差、几何公差与机械加工余量》（GB/T 6414-2017）。</w:t>
      </w:r>
    </w:p>
    <w:p w14:paraId="549C69BC">
      <w:pPr>
        <w:spacing w:line="360" w:lineRule="auto"/>
        <w:ind w:firstLine="280" w:firstLineChars="100"/>
        <w:rPr>
          <w:rFonts w:hint="eastAsia" w:ascii="宋体" w:hAnsi="宋体" w:cs="宋体"/>
          <w:sz w:val="28"/>
          <w:szCs w:val="24"/>
          <w:highlight w:val="none"/>
        </w:rPr>
      </w:pPr>
      <w:r>
        <w:rPr>
          <w:rFonts w:hint="eastAsia" w:ascii="宋体" w:hAnsi="宋体" w:cs="宋体"/>
          <w:sz w:val="28"/>
          <w:szCs w:val="24"/>
          <w:highlight w:val="none"/>
        </w:rPr>
        <w:t>2、井盖材质</w:t>
      </w:r>
    </w:p>
    <w:p w14:paraId="62A33508">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检查井盖所用的球墨铸铁应符合《球墨铸铁件》（GB/T 1348-2009）的规定。</w:t>
      </w:r>
    </w:p>
    <w:p w14:paraId="6ACD8BB1">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当检查井位于车行道下时（含机动车道及非机动车道），采用重型球墨铸铁井框、盖,承载等级为D400级（F≥400kN）；当检查井位于绿化带及人行道内时，可根据设计要求采用承载等级为B125级（F≥125kN）或C250级(F≥250kN）球墨铸铁井框、盖。</w:t>
      </w:r>
    </w:p>
    <w:p w14:paraId="195CAC02">
      <w:pPr>
        <w:spacing w:line="360" w:lineRule="auto"/>
        <w:ind w:firstLine="280" w:firstLineChars="100"/>
        <w:rPr>
          <w:rFonts w:hint="eastAsia" w:ascii="宋体" w:hAnsi="宋体" w:cs="宋体"/>
          <w:sz w:val="28"/>
          <w:szCs w:val="24"/>
          <w:highlight w:val="none"/>
        </w:rPr>
      </w:pPr>
      <w:r>
        <w:rPr>
          <w:rFonts w:hint="eastAsia" w:ascii="宋体" w:hAnsi="宋体" w:cs="宋体"/>
          <w:sz w:val="28"/>
          <w:szCs w:val="24"/>
          <w:highlight w:val="none"/>
        </w:rPr>
        <w:t>3、井盖结构形式</w:t>
      </w:r>
    </w:p>
    <w:p w14:paraId="53367C4C">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检查井井盖采用卡簧式球墨铸铁井盖，参见14S501-1/33；井框采用倒承式球墨铸铁井座，参见14S501-1/34。</w:t>
      </w:r>
    </w:p>
    <w:p w14:paraId="5F6FCC2C">
      <w:pPr>
        <w:spacing w:line="360" w:lineRule="auto"/>
        <w:ind w:firstLine="280" w:firstLineChars="100"/>
        <w:rPr>
          <w:rFonts w:hint="eastAsia" w:ascii="宋体" w:hAnsi="宋体" w:cs="宋体"/>
          <w:sz w:val="28"/>
          <w:szCs w:val="24"/>
          <w:highlight w:val="none"/>
        </w:rPr>
      </w:pPr>
      <w:r>
        <w:rPr>
          <w:rFonts w:hint="eastAsia" w:ascii="宋体" w:hAnsi="宋体" w:cs="宋体"/>
          <w:sz w:val="28"/>
          <w:szCs w:val="24"/>
          <w:highlight w:val="none"/>
        </w:rPr>
        <w:t>4、井盖外观要求</w:t>
      </w:r>
    </w:p>
    <w:p w14:paraId="57365293">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（1）井盖的表面应完整，材质均匀，无影响产品使用的缺陷。</w:t>
      </w:r>
    </w:p>
    <w:p w14:paraId="7B01BDFF">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（2）盖座保持顶平，井盖上表面不应有拱度，井盖与井座的见出面应平整、光滑。铸铁井盖与井座应为同一种材质，井盖与井座装配尺寸应符合GB/T 6414-2017的要求。</w:t>
      </w:r>
    </w:p>
    <w:p w14:paraId="753D2633">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3）检查井井框、盖表面标识除按照高新区统一要求（VI标准），带有“西安高新”字样外，检查井井框、盖的结构形式、材料、要求、包装、运输、储存、试验方法及检验规则均按国标《检查井盖》（GB/T23858-2009）中要求执行。</w:t>
      </w:r>
    </w:p>
    <w:p w14:paraId="3FD3CEB7">
      <w:pPr>
        <w:spacing w:line="360" w:lineRule="auto"/>
        <w:jc w:val="center"/>
        <w:rPr>
          <w:rFonts w:hint="eastAsia" w:ascii="宋体" w:hAnsi="宋体" w:cs="宋体"/>
          <w:sz w:val="28"/>
          <w:szCs w:val="24"/>
          <w:highlight w:val="none"/>
        </w:rPr>
      </w:pPr>
      <w:r>
        <w:rPr>
          <w:rFonts w:hint="eastAsia" w:ascii="宋体" w:hAnsi="宋体" w:cs="宋体"/>
          <w:sz w:val="28"/>
          <w:szCs w:val="24"/>
          <w:highlight w:val="none"/>
        </w:rPr>
        <w:drawing>
          <wp:inline distT="0" distB="0" distL="114300" distR="114300">
            <wp:extent cx="3114675" cy="31623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114675" cy="3162300"/>
                    </a:xfrm>
                    <a:prstGeom prst="rect">
                      <a:avLst/>
                    </a:prstGeom>
                    <a:noFill/>
                    <a:ln>
                      <a:noFill/>
                    </a:ln>
                  </pic:spPr>
                </pic:pic>
              </a:graphicData>
            </a:graphic>
          </wp:inline>
        </w:drawing>
      </w:r>
    </w:p>
    <w:p w14:paraId="6159F8FF">
      <w:pPr>
        <w:spacing w:line="360" w:lineRule="auto"/>
        <w:ind w:firstLine="280" w:firstLineChars="100"/>
        <w:rPr>
          <w:rFonts w:hint="eastAsia" w:ascii="宋体" w:hAnsi="宋体" w:cs="宋体"/>
          <w:sz w:val="28"/>
          <w:szCs w:val="24"/>
          <w:highlight w:val="none"/>
        </w:rPr>
      </w:pPr>
      <w:r>
        <w:rPr>
          <w:rFonts w:hint="eastAsia" w:ascii="宋体" w:hAnsi="宋体" w:cs="宋体"/>
          <w:sz w:val="28"/>
          <w:szCs w:val="24"/>
          <w:highlight w:val="none"/>
        </w:rPr>
        <w:t>5、井盖规格</w:t>
      </w:r>
    </w:p>
    <w:p w14:paraId="53B92DD6">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雨水与污水检查井井筒内净尺寸均为700mm，给水与中水检查井井筒内净尺寸均为800mm。</w:t>
      </w:r>
    </w:p>
    <w:p w14:paraId="4EA9313B">
      <w:pPr>
        <w:spacing w:line="360" w:lineRule="auto"/>
        <w:ind w:firstLine="280" w:firstLineChars="100"/>
        <w:rPr>
          <w:rFonts w:hint="eastAsia" w:ascii="宋体" w:hAnsi="宋体" w:cs="宋体"/>
          <w:sz w:val="28"/>
          <w:szCs w:val="24"/>
          <w:highlight w:val="none"/>
        </w:rPr>
      </w:pPr>
      <w:r>
        <w:rPr>
          <w:rFonts w:hint="eastAsia" w:ascii="宋体" w:hAnsi="宋体" w:cs="宋体"/>
          <w:sz w:val="28"/>
          <w:szCs w:val="24"/>
          <w:highlight w:val="none"/>
        </w:rPr>
        <w:t>6、井盖使用年限</w:t>
      </w:r>
    </w:p>
    <w:p w14:paraId="2A0A741E">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井框、盖使用寿命为不得小于30年。</w:t>
      </w:r>
    </w:p>
    <w:p w14:paraId="520C3E09">
      <w:pPr>
        <w:spacing w:line="360" w:lineRule="auto"/>
        <w:ind w:firstLine="280" w:firstLineChars="100"/>
        <w:rPr>
          <w:rFonts w:hint="eastAsia" w:ascii="宋体" w:hAnsi="宋体" w:cs="宋体"/>
          <w:sz w:val="28"/>
          <w:szCs w:val="24"/>
          <w:highlight w:val="none"/>
        </w:rPr>
      </w:pPr>
      <w:r>
        <w:rPr>
          <w:rFonts w:hint="eastAsia" w:ascii="宋体" w:hAnsi="宋体" w:cs="宋体"/>
          <w:sz w:val="28"/>
          <w:szCs w:val="24"/>
          <w:highlight w:val="none"/>
        </w:rPr>
        <w:t>7、采购试验项目</w:t>
      </w:r>
    </w:p>
    <w:p w14:paraId="50B247B4">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试验项目包括外观质量、尺寸偏差、承载能力、检验规则、运输和储存要求详见《检查井盖》GB/T 23858-2009。</w:t>
      </w:r>
    </w:p>
    <w:p w14:paraId="57A29E97">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五、电力通信井盖技术要求</w:t>
      </w:r>
    </w:p>
    <w:p w14:paraId="12117B06">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1、人孔井井盖相关标准</w:t>
      </w:r>
    </w:p>
    <w:p w14:paraId="3FF2FEB5">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（1）《检查井盖》（GB/T 23858-2009）；</w:t>
      </w:r>
    </w:p>
    <w:p w14:paraId="5893B0C8">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（2）《单层、双层井盖及踏步》（14S501-1</w:t>
      </w:r>
      <w:r>
        <w:rPr>
          <w:rFonts w:hint="eastAsia" w:ascii="宋体" w:hAnsi="宋体" w:cs="宋体"/>
          <w:sz w:val="28"/>
          <w:szCs w:val="24"/>
          <w:highlight w:val="none"/>
          <w:lang w:eastAsia="zh-CN"/>
        </w:rPr>
        <w:t>—</w:t>
      </w:r>
      <w:r>
        <w:rPr>
          <w:rFonts w:hint="eastAsia" w:ascii="宋体" w:hAnsi="宋体" w:cs="宋体"/>
          <w:sz w:val="28"/>
          <w:szCs w:val="24"/>
          <w:highlight w:val="none"/>
        </w:rPr>
        <w:t>2）。</w:t>
      </w:r>
    </w:p>
    <w:p w14:paraId="00A450D4">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2、井盖材质</w:t>
      </w:r>
    </w:p>
    <w:p w14:paraId="0AE97F21">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人孔井盖位于人行道时采用高分子锁具防盗井盖采用承载等级为C250级(F≥250kN）井框、盖。</w:t>
      </w:r>
    </w:p>
    <w:p w14:paraId="170DA131">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 xml:space="preserve">当人孔井位于车行道下时（含机动车道及非机动车道），采用重型球墨铸铁井框、盖,承载等级为D400级（F≥400kN）。 </w:t>
      </w:r>
    </w:p>
    <w:p w14:paraId="7E597544">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3、井盖结构形式</w:t>
      </w:r>
    </w:p>
    <w:p w14:paraId="55B6DFB2">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人孔井井盖采用高分子锁具防盗井，井盖分内盖和外盖双层。外盖内部装有锁具，内盖具有防水功能</w:t>
      </w:r>
    </w:p>
    <w:p w14:paraId="7D46E83C">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（1）井盖的表面应完整，材质均匀，无影响产品使用的缺陷。</w:t>
      </w:r>
    </w:p>
    <w:p w14:paraId="30D68C34">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（2）盖座保持顶平，井盖上表面不应有拱度，井盖与井座的见出面应平整、光滑。</w:t>
      </w:r>
    </w:p>
    <w:p w14:paraId="6379AC28">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3人孔井井框、盖表面标识除按照高新区统一要求（VI标准），带有“西安高新”字样外，人孔井井框、盖的结构形式、材料、要求、包装、运输、储存、试验方法及检验规则均按国标《检查井盖》（GB/T23858-2009）中要求执行。</w:t>
      </w:r>
    </w:p>
    <w:p w14:paraId="228A80D1">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4、井盖规格</w:t>
      </w:r>
    </w:p>
    <w:p w14:paraId="3E6EE9CB">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 xml:space="preserve">人孔井井筒内净尺寸均为700mm。 </w:t>
      </w:r>
    </w:p>
    <w:p w14:paraId="35AA4798">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5、井盖使用年限</w:t>
      </w:r>
    </w:p>
    <w:p w14:paraId="1AAEBD40">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井框、盖使用寿命为不得小于30年。</w:t>
      </w:r>
    </w:p>
    <w:p w14:paraId="10FE057A">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6、采购试验项目</w:t>
      </w:r>
    </w:p>
    <w:p w14:paraId="34A3201C">
      <w:pPr>
        <w:spacing w:line="360" w:lineRule="auto"/>
        <w:ind w:firstLine="480"/>
        <w:rPr>
          <w:rFonts w:hint="eastAsia" w:ascii="宋体" w:hAnsi="宋体" w:cs="宋体"/>
          <w:sz w:val="28"/>
          <w:szCs w:val="24"/>
          <w:highlight w:val="none"/>
        </w:rPr>
      </w:pPr>
      <w:r>
        <w:rPr>
          <w:rFonts w:hint="eastAsia" w:ascii="宋体" w:hAnsi="宋体" w:cs="宋体"/>
          <w:sz w:val="28"/>
          <w:szCs w:val="24"/>
          <w:highlight w:val="none"/>
        </w:rPr>
        <w:t>试验项目包括外观质量、尺寸偏差、承载能力、检验规则、运输和储存要求详见《检查井盖》GB/T 23858-2009。</w:t>
      </w:r>
    </w:p>
    <w:p w14:paraId="021FA041">
      <w:pPr>
        <w:spacing w:line="360" w:lineRule="auto"/>
        <w:rPr>
          <w:rFonts w:hint="eastAsia" w:ascii="宋体" w:hAnsi="宋体" w:cs="宋体"/>
          <w:sz w:val="28"/>
          <w:szCs w:val="24"/>
          <w:highlight w:val="none"/>
        </w:rPr>
      </w:pPr>
      <w:r>
        <w:rPr>
          <w:rFonts w:hint="eastAsia" w:ascii="宋体" w:hAnsi="宋体" w:cs="宋体"/>
          <w:sz w:val="28"/>
          <w:szCs w:val="24"/>
          <w:highlight w:val="none"/>
        </w:rPr>
        <w:br w:type="page"/>
      </w:r>
      <w:r>
        <w:rPr>
          <w:rFonts w:hint="eastAsia" w:ascii="宋体" w:hAnsi="宋体" w:cs="宋体"/>
          <w:sz w:val="28"/>
          <w:szCs w:val="24"/>
          <w:highlight w:val="none"/>
        </w:rPr>
        <w:t>六、井盖参数</w:t>
      </w:r>
    </w:p>
    <w:p w14:paraId="144A478C">
      <w:pPr>
        <w:spacing w:line="360" w:lineRule="auto"/>
        <w:ind w:firstLine="62"/>
        <w:rPr>
          <w:rFonts w:hint="eastAsia" w:ascii="宋体" w:hAnsi="宋体" w:cs="宋体"/>
          <w:sz w:val="28"/>
          <w:szCs w:val="24"/>
          <w:highlight w:val="none"/>
        </w:rPr>
      </w:pPr>
      <w:r>
        <w:rPr>
          <w:rFonts w:hint="eastAsia" w:ascii="宋体" w:hAnsi="宋体" w:cs="宋体"/>
          <w:sz w:val="28"/>
          <w:szCs w:val="24"/>
          <w:highlight w:val="none"/>
        </w:rPr>
        <w:drawing>
          <wp:inline distT="0" distB="0" distL="114300" distR="114300">
            <wp:extent cx="5756275" cy="8188325"/>
            <wp:effectExtent l="0" t="0" r="15875" b="3175"/>
            <wp:docPr id="2" name="图片 2" descr="井盖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井盖参数"/>
                    <pic:cNvPicPr>
                      <a:picLocks noChangeAspect="1"/>
                    </pic:cNvPicPr>
                  </pic:nvPicPr>
                  <pic:blipFill>
                    <a:blip r:embed="rId18"/>
                    <a:stretch>
                      <a:fillRect/>
                    </a:stretch>
                  </pic:blipFill>
                  <pic:spPr>
                    <a:xfrm>
                      <a:off x="0" y="0"/>
                      <a:ext cx="5756275" cy="8188325"/>
                    </a:xfrm>
                    <a:prstGeom prst="rect">
                      <a:avLst/>
                    </a:prstGeom>
                    <a:noFill/>
                    <a:ln>
                      <a:noFill/>
                    </a:ln>
                  </pic:spPr>
                </pic:pic>
              </a:graphicData>
            </a:graphic>
          </wp:inline>
        </w:drawing>
      </w:r>
    </w:p>
    <w:p w14:paraId="19E2128D">
      <w:pPr>
        <w:spacing w:line="360" w:lineRule="auto"/>
        <w:rPr>
          <w:rFonts w:hint="eastAsia" w:ascii="宋体" w:hAnsi="宋体" w:cs="宋体"/>
          <w:b/>
          <w:sz w:val="40"/>
          <w:szCs w:val="40"/>
          <w:highlight w:val="none"/>
        </w:rPr>
      </w:pPr>
      <w:r>
        <w:rPr>
          <w:rFonts w:hint="eastAsia" w:ascii="宋体" w:hAnsi="宋体" w:cs="宋体"/>
          <w:sz w:val="28"/>
          <w:szCs w:val="24"/>
          <w:highlight w:val="none"/>
        </w:rPr>
        <w:br w:type="page"/>
      </w:r>
      <w:r>
        <w:rPr>
          <w:rFonts w:hint="eastAsia" w:ascii="宋体" w:hAnsi="宋体" w:cs="宋体"/>
          <w:sz w:val="28"/>
          <w:szCs w:val="24"/>
          <w:highlight w:val="none"/>
        </w:rPr>
        <w:t>七、透水水泥混凝土设计要求</w:t>
      </w:r>
    </w:p>
    <w:p w14:paraId="61169E5C">
      <w:pPr>
        <w:spacing w:line="360" w:lineRule="auto"/>
        <w:rPr>
          <w:rFonts w:hint="eastAsia" w:ascii="宋体" w:hAnsi="宋体" w:cs="宋体"/>
          <w:sz w:val="28"/>
          <w:szCs w:val="24"/>
          <w:highlight w:val="none"/>
        </w:rPr>
      </w:pPr>
      <w:r>
        <w:rPr>
          <w:rFonts w:hint="eastAsia" w:ascii="宋体" w:hAnsi="宋体" w:cs="宋体"/>
          <w:sz w:val="28"/>
          <w:szCs w:val="24"/>
          <w:highlight w:val="none"/>
        </w:rPr>
        <w:t>1、检查井井盖相关标准</w:t>
      </w:r>
    </w:p>
    <w:p w14:paraId="4C07639A">
      <w:pPr>
        <w:spacing w:line="360" w:lineRule="auto"/>
        <w:ind w:firstLine="495" w:firstLineChars="177"/>
        <w:rPr>
          <w:rFonts w:hint="eastAsia" w:ascii="宋体" w:hAnsi="宋体" w:cs="宋体"/>
          <w:sz w:val="28"/>
          <w:szCs w:val="24"/>
          <w:highlight w:val="none"/>
        </w:rPr>
      </w:pPr>
      <w:r>
        <w:rPr>
          <w:rFonts w:hint="eastAsia" w:ascii="宋体" w:hAnsi="宋体" w:cs="宋体"/>
          <w:sz w:val="28"/>
          <w:szCs w:val="24"/>
          <w:highlight w:val="none"/>
        </w:rPr>
        <w:t>（1）《</w:t>
      </w:r>
      <w:r>
        <w:rPr>
          <w:rFonts w:hint="eastAsia" w:ascii="宋体" w:hAnsi="宋体" w:cs="宋体"/>
          <w:sz w:val="22"/>
          <w:szCs w:val="24"/>
          <w:highlight w:val="none"/>
        </w:rPr>
        <w:fldChar w:fldCharType="begin"/>
      </w:r>
      <w:r>
        <w:rPr>
          <w:rFonts w:hint="eastAsia" w:ascii="宋体" w:hAnsi="宋体" w:cs="宋体"/>
          <w:sz w:val="22"/>
          <w:szCs w:val="24"/>
          <w:highlight w:val="none"/>
        </w:rPr>
        <w:instrText xml:space="preserve"> HYPERLINK "http://item.jd.com/10321970.html" \t "_blank" </w:instrText>
      </w:r>
      <w:r>
        <w:rPr>
          <w:rFonts w:hint="eastAsia" w:ascii="宋体" w:hAnsi="宋体" w:cs="宋体"/>
          <w:sz w:val="22"/>
          <w:szCs w:val="24"/>
          <w:highlight w:val="none"/>
        </w:rPr>
        <w:fldChar w:fldCharType="separate"/>
      </w:r>
      <w:r>
        <w:rPr>
          <w:rFonts w:hint="eastAsia" w:ascii="宋体" w:hAnsi="宋体" w:cs="宋体"/>
          <w:sz w:val="28"/>
          <w:szCs w:val="24"/>
          <w:highlight w:val="none"/>
        </w:rPr>
        <w:t>透水水泥混凝土路面技术规程》(CJJ/T135-2009)</w:t>
      </w:r>
      <w:r>
        <w:rPr>
          <w:rFonts w:hint="eastAsia" w:ascii="宋体" w:hAnsi="宋体" w:cs="宋体"/>
          <w:sz w:val="28"/>
          <w:szCs w:val="24"/>
          <w:highlight w:val="none"/>
        </w:rPr>
        <w:fldChar w:fldCharType="end"/>
      </w:r>
      <w:r>
        <w:rPr>
          <w:rFonts w:hint="eastAsia" w:ascii="宋体" w:hAnsi="宋体" w:cs="宋体"/>
          <w:sz w:val="28"/>
          <w:szCs w:val="24"/>
          <w:highlight w:val="none"/>
        </w:rPr>
        <w:t>；</w:t>
      </w:r>
    </w:p>
    <w:p w14:paraId="240A9661">
      <w:pPr>
        <w:spacing w:line="360" w:lineRule="auto"/>
        <w:rPr>
          <w:rFonts w:hint="eastAsia" w:ascii="宋体" w:hAnsi="宋体" w:cs="宋体"/>
          <w:sz w:val="28"/>
          <w:szCs w:val="24"/>
          <w:highlight w:val="none"/>
        </w:rPr>
      </w:pPr>
      <w:r>
        <w:rPr>
          <w:rFonts w:hint="eastAsia" w:ascii="宋体" w:hAnsi="宋体" w:cs="宋体"/>
          <w:sz w:val="28"/>
          <w:szCs w:val="24"/>
          <w:highlight w:val="none"/>
        </w:rPr>
        <w:t>2、透水水泥混凝土设计要求：</w:t>
      </w:r>
    </w:p>
    <w:p w14:paraId="19B82DEE">
      <w:pPr>
        <w:spacing w:line="360" w:lineRule="auto"/>
        <w:ind w:firstLine="560" w:firstLineChars="200"/>
        <w:rPr>
          <w:rFonts w:hint="eastAsia" w:ascii="宋体" w:hAnsi="宋体" w:cs="宋体"/>
          <w:sz w:val="28"/>
          <w:szCs w:val="24"/>
          <w:highlight w:val="none"/>
        </w:rPr>
      </w:pPr>
      <w:r>
        <w:rPr>
          <w:rFonts w:hint="eastAsia" w:ascii="宋体" w:hAnsi="宋体" w:cs="宋体"/>
          <w:bCs/>
          <w:sz w:val="28"/>
          <w:szCs w:val="24"/>
          <w:highlight w:val="none"/>
        </w:rPr>
        <w:t>（</w:t>
      </w:r>
      <w:r>
        <w:rPr>
          <w:rFonts w:hint="eastAsia" w:ascii="宋体" w:hAnsi="宋体" w:cs="宋体"/>
          <w:sz w:val="28"/>
          <w:szCs w:val="24"/>
          <w:highlight w:val="none"/>
        </w:rPr>
        <w:t>1）水泥应采用强度等级不低于42.5级的硅酸盐水泥，质量应符合现行国家标准《通用硅酸盐水泥》GB 175的要求。不同等级、厂牌、品种、出厂日期的水泥不得混存、混用。</w:t>
      </w:r>
    </w:p>
    <w:p w14:paraId="2FC705C7">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（2）外加剂应符合现行国家标准《混凝土外加剂》GB 8076的规定。</w:t>
      </w:r>
    </w:p>
    <w:p w14:paraId="71E7C420">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（3）透水水泥混凝土采用的增强料技术指标应符合下表的规定。</w:t>
      </w:r>
    </w:p>
    <w:p w14:paraId="06370959">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增强剂的技术标准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852"/>
        <w:gridCol w:w="2110"/>
        <w:gridCol w:w="3153"/>
      </w:tblGrid>
      <w:tr w14:paraId="1B55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38" w:type="dxa"/>
            <w:vMerge w:val="restart"/>
            <w:tcBorders>
              <w:top w:val="single" w:color="auto" w:sz="4" w:space="0"/>
              <w:left w:val="single" w:color="auto" w:sz="4" w:space="0"/>
              <w:bottom w:val="single" w:color="auto" w:sz="4" w:space="0"/>
              <w:right w:val="single" w:color="auto" w:sz="4" w:space="0"/>
            </w:tcBorders>
            <w:noWrap w:val="0"/>
            <w:vAlign w:val="center"/>
          </w:tcPr>
          <w:p w14:paraId="6D6D2F4E">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聚合物乳液</w:t>
            </w:r>
          </w:p>
        </w:tc>
        <w:tc>
          <w:tcPr>
            <w:tcW w:w="1852" w:type="dxa"/>
            <w:tcBorders>
              <w:top w:val="single" w:color="auto" w:sz="4" w:space="0"/>
              <w:left w:val="single" w:color="auto" w:sz="4" w:space="0"/>
              <w:bottom w:val="single" w:color="auto" w:sz="4" w:space="0"/>
              <w:right w:val="single" w:color="auto" w:sz="4" w:space="0"/>
            </w:tcBorders>
            <w:noWrap w:val="0"/>
            <w:vAlign w:val="center"/>
          </w:tcPr>
          <w:p w14:paraId="0475A8A1">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含固量（%）</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0E55F3C0">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延伸率（%）</w:t>
            </w:r>
          </w:p>
        </w:tc>
        <w:tc>
          <w:tcPr>
            <w:tcW w:w="3153" w:type="dxa"/>
            <w:tcBorders>
              <w:top w:val="single" w:color="auto" w:sz="4" w:space="0"/>
              <w:left w:val="single" w:color="auto" w:sz="4" w:space="0"/>
              <w:bottom w:val="single" w:color="auto" w:sz="4" w:space="0"/>
              <w:right w:val="single" w:color="auto" w:sz="4" w:space="0"/>
            </w:tcBorders>
            <w:noWrap w:val="0"/>
            <w:vAlign w:val="center"/>
          </w:tcPr>
          <w:p w14:paraId="5FC6D8B1">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极限拉伸强度（MPa）</w:t>
            </w:r>
          </w:p>
        </w:tc>
      </w:tr>
      <w:tr w14:paraId="65C0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738" w:type="dxa"/>
            <w:vMerge w:val="continue"/>
            <w:tcBorders>
              <w:top w:val="single" w:color="auto" w:sz="4" w:space="0"/>
              <w:left w:val="single" w:color="auto" w:sz="4" w:space="0"/>
              <w:bottom w:val="single" w:color="auto" w:sz="4" w:space="0"/>
              <w:right w:val="single" w:color="auto" w:sz="4" w:space="0"/>
            </w:tcBorders>
            <w:noWrap w:val="0"/>
            <w:vAlign w:val="center"/>
          </w:tcPr>
          <w:p w14:paraId="7FF2DC6C">
            <w:pPr>
              <w:spacing w:line="360" w:lineRule="auto"/>
              <w:ind w:firstLine="560" w:firstLineChars="200"/>
              <w:jc w:val="center"/>
              <w:rPr>
                <w:rFonts w:hint="eastAsia" w:ascii="宋体" w:hAnsi="宋体" w:cs="宋体"/>
                <w:bCs/>
                <w:sz w:val="28"/>
                <w:szCs w:val="24"/>
                <w:highlight w:val="none"/>
              </w:rPr>
            </w:pPr>
          </w:p>
        </w:tc>
        <w:tc>
          <w:tcPr>
            <w:tcW w:w="1852" w:type="dxa"/>
            <w:tcBorders>
              <w:top w:val="single" w:color="auto" w:sz="4" w:space="0"/>
              <w:left w:val="single" w:color="auto" w:sz="4" w:space="0"/>
              <w:bottom w:val="single" w:color="auto" w:sz="4" w:space="0"/>
              <w:right w:val="single" w:color="auto" w:sz="4" w:space="0"/>
            </w:tcBorders>
            <w:noWrap w:val="0"/>
            <w:vAlign w:val="center"/>
          </w:tcPr>
          <w:p w14:paraId="77A4CF2C">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40～50</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0E029823">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≥150</w:t>
            </w:r>
          </w:p>
        </w:tc>
        <w:tc>
          <w:tcPr>
            <w:tcW w:w="3153" w:type="dxa"/>
            <w:tcBorders>
              <w:top w:val="single" w:color="auto" w:sz="4" w:space="0"/>
              <w:left w:val="single" w:color="auto" w:sz="4" w:space="0"/>
              <w:bottom w:val="single" w:color="auto" w:sz="4" w:space="0"/>
              <w:right w:val="single" w:color="auto" w:sz="4" w:space="0"/>
            </w:tcBorders>
            <w:noWrap w:val="0"/>
            <w:vAlign w:val="center"/>
          </w:tcPr>
          <w:p w14:paraId="49A5D926">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≥1.0</w:t>
            </w:r>
          </w:p>
        </w:tc>
      </w:tr>
      <w:tr w14:paraId="577B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38" w:type="dxa"/>
            <w:tcBorders>
              <w:top w:val="single" w:color="auto" w:sz="4" w:space="0"/>
              <w:left w:val="single" w:color="auto" w:sz="4" w:space="0"/>
              <w:bottom w:val="single" w:color="auto" w:sz="4" w:space="0"/>
              <w:right w:val="single" w:color="auto" w:sz="4" w:space="0"/>
            </w:tcBorders>
            <w:noWrap w:val="0"/>
            <w:vAlign w:val="center"/>
          </w:tcPr>
          <w:p w14:paraId="49DD113E">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活性 SiO</w:t>
            </w:r>
            <w:r>
              <w:rPr>
                <w:rFonts w:hint="eastAsia" w:ascii="宋体" w:hAnsi="宋体" w:cs="宋体"/>
                <w:bCs/>
                <w:sz w:val="28"/>
                <w:szCs w:val="24"/>
                <w:highlight w:val="none"/>
                <w:vertAlign w:val="subscript"/>
              </w:rPr>
              <w:t>2</w:t>
            </w:r>
          </w:p>
        </w:tc>
        <w:tc>
          <w:tcPr>
            <w:tcW w:w="7115" w:type="dxa"/>
            <w:gridSpan w:val="3"/>
            <w:tcBorders>
              <w:top w:val="single" w:color="auto" w:sz="4" w:space="0"/>
              <w:left w:val="single" w:color="auto" w:sz="4" w:space="0"/>
              <w:bottom w:val="single" w:color="auto" w:sz="4" w:space="0"/>
              <w:right w:val="single" w:color="auto" w:sz="4" w:space="0"/>
            </w:tcBorders>
            <w:noWrap w:val="0"/>
            <w:vAlign w:val="center"/>
          </w:tcPr>
          <w:p w14:paraId="1D4A1438">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SiO</w:t>
            </w:r>
            <w:r>
              <w:rPr>
                <w:rFonts w:hint="eastAsia" w:ascii="宋体" w:hAnsi="宋体" w:cs="宋体"/>
                <w:bCs/>
                <w:sz w:val="28"/>
                <w:szCs w:val="24"/>
                <w:highlight w:val="none"/>
                <w:vertAlign w:val="subscript"/>
              </w:rPr>
              <w:t xml:space="preserve">2 </w:t>
            </w:r>
            <w:r>
              <w:rPr>
                <w:rFonts w:hint="eastAsia" w:ascii="宋体" w:hAnsi="宋体" w:cs="宋体"/>
                <w:bCs/>
                <w:sz w:val="28"/>
                <w:szCs w:val="24"/>
                <w:highlight w:val="none"/>
              </w:rPr>
              <w:t>含量应大于85%</w:t>
            </w:r>
          </w:p>
        </w:tc>
      </w:tr>
    </w:tbl>
    <w:p w14:paraId="266E9B6C">
      <w:pPr>
        <w:tabs>
          <w:tab w:val="left" w:pos="0"/>
        </w:tabs>
        <w:adjustRightInd w:val="0"/>
        <w:spacing w:line="360" w:lineRule="auto"/>
        <w:ind w:firstLine="540"/>
        <w:rPr>
          <w:rFonts w:hint="eastAsia" w:ascii="宋体" w:hAnsi="宋体" w:cs="宋体"/>
          <w:bCs/>
          <w:sz w:val="28"/>
          <w:szCs w:val="24"/>
          <w:highlight w:val="none"/>
        </w:rPr>
      </w:pPr>
      <w:r>
        <w:rPr>
          <w:rFonts w:hint="eastAsia" w:ascii="宋体" w:hAnsi="宋体" w:cs="宋体"/>
          <w:bCs/>
          <w:sz w:val="28"/>
          <w:szCs w:val="24"/>
          <w:highlight w:val="none"/>
        </w:rPr>
        <w:t>（4）透水水泥混凝土采用的集料，必须使用质地坚硬、耐久、洁净、密实的碎石料，</w:t>
      </w:r>
      <w:r>
        <w:rPr>
          <w:rFonts w:hint="eastAsia" w:ascii="宋体" w:hAnsi="宋体" w:cs="宋体"/>
          <w:b/>
          <w:sz w:val="28"/>
          <w:szCs w:val="24"/>
          <w:highlight w:val="none"/>
        </w:rPr>
        <w:t xml:space="preserve"> </w:t>
      </w:r>
      <w:r>
        <w:rPr>
          <w:rFonts w:hint="eastAsia" w:ascii="宋体" w:hAnsi="宋体" w:cs="宋体"/>
          <w:bCs/>
          <w:sz w:val="28"/>
          <w:szCs w:val="24"/>
          <w:highlight w:val="none"/>
        </w:rPr>
        <w:t>4厘米红色透水混凝土上面层为4-6mm色彩均匀一致的单一粒径碎石料；8厘米素色透水混凝土下面层粒径为10-20mm单一粒径碎石料；碎石的性能指标应符合现行国家标准《建筑用卵石、碎石》GB/T 14685中的二级要求，并符合下表规定。</w:t>
      </w:r>
    </w:p>
    <w:p w14:paraId="291023FB">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集料的性能指标</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6"/>
        <w:gridCol w:w="1176"/>
        <w:gridCol w:w="1296"/>
        <w:gridCol w:w="1296"/>
        <w:gridCol w:w="1296"/>
      </w:tblGrid>
      <w:tr w14:paraId="67C3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6" w:type="dxa"/>
            <w:vMerge w:val="restart"/>
            <w:tcBorders>
              <w:top w:val="single" w:color="auto" w:sz="4" w:space="0"/>
              <w:left w:val="single" w:color="auto" w:sz="4" w:space="0"/>
              <w:bottom w:val="single" w:color="auto" w:sz="4" w:space="0"/>
              <w:right w:val="single" w:color="auto" w:sz="4" w:space="0"/>
            </w:tcBorders>
            <w:noWrap w:val="0"/>
            <w:vAlign w:val="center"/>
          </w:tcPr>
          <w:p w14:paraId="409DB4C7">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项   目</w:t>
            </w:r>
          </w:p>
        </w:tc>
        <w:tc>
          <w:tcPr>
            <w:tcW w:w="1176" w:type="dxa"/>
            <w:vMerge w:val="restart"/>
            <w:tcBorders>
              <w:top w:val="single" w:color="auto" w:sz="4" w:space="0"/>
              <w:left w:val="single" w:color="auto" w:sz="4" w:space="0"/>
              <w:bottom w:val="single" w:color="auto" w:sz="4" w:space="0"/>
              <w:right w:val="single" w:color="auto" w:sz="4" w:space="0"/>
            </w:tcBorders>
            <w:noWrap w:val="0"/>
            <w:vAlign w:val="center"/>
          </w:tcPr>
          <w:p w14:paraId="6F339E67">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计量单位</w:t>
            </w:r>
          </w:p>
        </w:tc>
        <w:tc>
          <w:tcPr>
            <w:tcW w:w="3888" w:type="dxa"/>
            <w:gridSpan w:val="3"/>
            <w:tcBorders>
              <w:top w:val="single" w:color="auto" w:sz="4" w:space="0"/>
              <w:left w:val="single" w:color="auto" w:sz="4" w:space="0"/>
              <w:bottom w:val="single" w:color="auto" w:sz="4" w:space="0"/>
              <w:right w:val="single" w:color="auto" w:sz="4" w:space="0"/>
            </w:tcBorders>
            <w:noWrap w:val="0"/>
            <w:vAlign w:val="center"/>
          </w:tcPr>
          <w:p w14:paraId="646AF350">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指   标</w:t>
            </w:r>
          </w:p>
        </w:tc>
      </w:tr>
      <w:tr w14:paraId="54D3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6" w:type="dxa"/>
            <w:vMerge w:val="continue"/>
            <w:tcBorders>
              <w:top w:val="single" w:color="auto" w:sz="4" w:space="0"/>
              <w:left w:val="single" w:color="auto" w:sz="4" w:space="0"/>
              <w:bottom w:val="single" w:color="auto" w:sz="4" w:space="0"/>
              <w:right w:val="single" w:color="auto" w:sz="4" w:space="0"/>
            </w:tcBorders>
            <w:noWrap w:val="0"/>
            <w:vAlign w:val="center"/>
          </w:tcPr>
          <w:p w14:paraId="13A61F02">
            <w:pPr>
              <w:spacing w:line="360" w:lineRule="auto"/>
              <w:jc w:val="center"/>
              <w:rPr>
                <w:rFonts w:hint="eastAsia" w:ascii="宋体" w:hAnsi="宋体" w:cs="宋体"/>
                <w:bCs/>
                <w:sz w:val="28"/>
                <w:szCs w:val="24"/>
                <w:highlight w:val="none"/>
              </w:rPr>
            </w:pPr>
          </w:p>
        </w:tc>
        <w:tc>
          <w:tcPr>
            <w:tcW w:w="1176" w:type="dxa"/>
            <w:vMerge w:val="continue"/>
            <w:tcBorders>
              <w:top w:val="single" w:color="auto" w:sz="4" w:space="0"/>
              <w:left w:val="single" w:color="auto" w:sz="4" w:space="0"/>
              <w:bottom w:val="single" w:color="auto" w:sz="4" w:space="0"/>
              <w:right w:val="single" w:color="auto" w:sz="4" w:space="0"/>
            </w:tcBorders>
            <w:noWrap w:val="0"/>
            <w:vAlign w:val="center"/>
          </w:tcPr>
          <w:p w14:paraId="621727BE">
            <w:pPr>
              <w:spacing w:line="360" w:lineRule="auto"/>
              <w:jc w:val="center"/>
              <w:rPr>
                <w:rFonts w:hint="eastAsia" w:ascii="宋体" w:hAnsi="宋体" w:cs="宋体"/>
                <w:bCs/>
                <w:sz w:val="28"/>
                <w:szCs w:val="24"/>
                <w:highlight w:val="none"/>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62BE6C31">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1</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66A3C167">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2</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7B365AB4">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3</w:t>
            </w:r>
          </w:p>
        </w:tc>
      </w:tr>
      <w:tr w14:paraId="7AE1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6" w:type="dxa"/>
            <w:tcBorders>
              <w:top w:val="single" w:color="auto" w:sz="4" w:space="0"/>
              <w:left w:val="single" w:color="auto" w:sz="4" w:space="0"/>
              <w:bottom w:val="single" w:color="auto" w:sz="4" w:space="0"/>
              <w:right w:val="single" w:color="auto" w:sz="4" w:space="0"/>
            </w:tcBorders>
            <w:noWrap w:val="0"/>
            <w:vAlign w:val="center"/>
          </w:tcPr>
          <w:p w14:paraId="53905873">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尺寸</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6720B7AA">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mm</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3E3A0691">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2.4～4.75</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76E6FA22">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4.75～9.5</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522BD1F3">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9.5～13.2</w:t>
            </w:r>
          </w:p>
        </w:tc>
      </w:tr>
      <w:tr w14:paraId="1078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6" w:type="dxa"/>
            <w:tcBorders>
              <w:top w:val="single" w:color="auto" w:sz="4" w:space="0"/>
              <w:left w:val="single" w:color="auto" w:sz="4" w:space="0"/>
              <w:bottom w:val="single" w:color="auto" w:sz="4" w:space="0"/>
              <w:right w:val="single" w:color="auto" w:sz="4" w:space="0"/>
            </w:tcBorders>
            <w:noWrap w:val="0"/>
            <w:vAlign w:val="center"/>
          </w:tcPr>
          <w:p w14:paraId="7A052AD5">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压碎值</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000DDFC5">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w:t>
            </w:r>
          </w:p>
        </w:tc>
        <w:tc>
          <w:tcPr>
            <w:tcW w:w="3888" w:type="dxa"/>
            <w:gridSpan w:val="3"/>
            <w:tcBorders>
              <w:top w:val="single" w:color="auto" w:sz="4" w:space="0"/>
              <w:left w:val="single" w:color="auto" w:sz="4" w:space="0"/>
              <w:bottom w:val="single" w:color="auto" w:sz="4" w:space="0"/>
              <w:right w:val="single" w:color="auto" w:sz="4" w:space="0"/>
            </w:tcBorders>
            <w:noWrap w:val="0"/>
            <w:vAlign w:val="center"/>
          </w:tcPr>
          <w:p w14:paraId="177F7B05">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＜15.0</w:t>
            </w:r>
          </w:p>
        </w:tc>
      </w:tr>
      <w:tr w14:paraId="2BEE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6" w:type="dxa"/>
            <w:tcBorders>
              <w:top w:val="single" w:color="auto" w:sz="4" w:space="0"/>
              <w:left w:val="single" w:color="auto" w:sz="4" w:space="0"/>
              <w:bottom w:val="single" w:color="auto" w:sz="4" w:space="0"/>
              <w:right w:val="single" w:color="auto" w:sz="4" w:space="0"/>
            </w:tcBorders>
            <w:noWrap w:val="0"/>
            <w:vAlign w:val="center"/>
          </w:tcPr>
          <w:p w14:paraId="72F872E8">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针片状颗粒含量（按质量计）</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73B2C040">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w:t>
            </w:r>
          </w:p>
        </w:tc>
        <w:tc>
          <w:tcPr>
            <w:tcW w:w="3888" w:type="dxa"/>
            <w:gridSpan w:val="3"/>
            <w:tcBorders>
              <w:top w:val="single" w:color="auto" w:sz="4" w:space="0"/>
              <w:left w:val="single" w:color="auto" w:sz="4" w:space="0"/>
              <w:bottom w:val="single" w:color="auto" w:sz="4" w:space="0"/>
              <w:right w:val="single" w:color="auto" w:sz="4" w:space="0"/>
            </w:tcBorders>
            <w:noWrap w:val="0"/>
            <w:vAlign w:val="center"/>
          </w:tcPr>
          <w:p w14:paraId="11140E96">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＜15.0</w:t>
            </w:r>
          </w:p>
        </w:tc>
      </w:tr>
      <w:tr w14:paraId="486A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6" w:type="dxa"/>
            <w:tcBorders>
              <w:top w:val="single" w:color="auto" w:sz="4" w:space="0"/>
              <w:left w:val="single" w:color="auto" w:sz="4" w:space="0"/>
              <w:bottom w:val="single" w:color="auto" w:sz="4" w:space="0"/>
              <w:right w:val="single" w:color="auto" w:sz="4" w:space="0"/>
            </w:tcBorders>
            <w:noWrap w:val="0"/>
            <w:vAlign w:val="center"/>
          </w:tcPr>
          <w:p w14:paraId="6D9FC81F">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含泥量（按质量计）</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119185D9">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w:t>
            </w:r>
          </w:p>
        </w:tc>
        <w:tc>
          <w:tcPr>
            <w:tcW w:w="3888" w:type="dxa"/>
            <w:gridSpan w:val="3"/>
            <w:tcBorders>
              <w:top w:val="single" w:color="auto" w:sz="4" w:space="0"/>
              <w:left w:val="single" w:color="auto" w:sz="4" w:space="0"/>
              <w:bottom w:val="single" w:color="auto" w:sz="4" w:space="0"/>
              <w:right w:val="single" w:color="auto" w:sz="4" w:space="0"/>
            </w:tcBorders>
            <w:noWrap w:val="0"/>
            <w:vAlign w:val="center"/>
          </w:tcPr>
          <w:p w14:paraId="16E1A77A">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＜1.0</w:t>
            </w:r>
          </w:p>
        </w:tc>
      </w:tr>
      <w:tr w14:paraId="4078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6" w:type="dxa"/>
            <w:tcBorders>
              <w:top w:val="single" w:color="auto" w:sz="4" w:space="0"/>
              <w:left w:val="single" w:color="auto" w:sz="4" w:space="0"/>
              <w:bottom w:val="single" w:color="auto" w:sz="4" w:space="0"/>
              <w:right w:val="single" w:color="auto" w:sz="4" w:space="0"/>
            </w:tcBorders>
            <w:noWrap w:val="0"/>
            <w:vAlign w:val="center"/>
          </w:tcPr>
          <w:p w14:paraId="4656ECD6">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表观密度</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26FD9172">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kg/m</w:t>
            </w:r>
            <w:r>
              <w:rPr>
                <w:rFonts w:hint="eastAsia" w:ascii="宋体" w:hAnsi="宋体" w:cs="宋体"/>
                <w:bCs/>
                <w:sz w:val="28"/>
                <w:szCs w:val="24"/>
                <w:highlight w:val="none"/>
                <w:vertAlign w:val="superscript"/>
              </w:rPr>
              <w:t>3</w:t>
            </w:r>
          </w:p>
        </w:tc>
        <w:tc>
          <w:tcPr>
            <w:tcW w:w="3888" w:type="dxa"/>
            <w:gridSpan w:val="3"/>
            <w:tcBorders>
              <w:top w:val="single" w:color="auto" w:sz="4" w:space="0"/>
              <w:left w:val="single" w:color="auto" w:sz="4" w:space="0"/>
              <w:bottom w:val="single" w:color="auto" w:sz="4" w:space="0"/>
              <w:right w:val="single" w:color="auto" w:sz="4" w:space="0"/>
            </w:tcBorders>
            <w:noWrap w:val="0"/>
            <w:vAlign w:val="center"/>
          </w:tcPr>
          <w:p w14:paraId="0B215115">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﹥2500</w:t>
            </w:r>
          </w:p>
        </w:tc>
      </w:tr>
      <w:tr w14:paraId="33FA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6" w:type="dxa"/>
            <w:tcBorders>
              <w:top w:val="single" w:color="auto" w:sz="4" w:space="0"/>
              <w:left w:val="single" w:color="auto" w:sz="4" w:space="0"/>
              <w:bottom w:val="single" w:color="auto" w:sz="4" w:space="0"/>
              <w:right w:val="single" w:color="auto" w:sz="4" w:space="0"/>
            </w:tcBorders>
            <w:noWrap w:val="0"/>
            <w:vAlign w:val="center"/>
          </w:tcPr>
          <w:p w14:paraId="564DD993">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紧密堆积密度</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2B2FD5C9">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kg/m</w:t>
            </w:r>
            <w:r>
              <w:rPr>
                <w:rFonts w:hint="eastAsia" w:ascii="宋体" w:hAnsi="宋体" w:cs="宋体"/>
                <w:bCs/>
                <w:sz w:val="28"/>
                <w:szCs w:val="24"/>
                <w:highlight w:val="none"/>
                <w:vertAlign w:val="superscript"/>
              </w:rPr>
              <w:t>3</w:t>
            </w:r>
          </w:p>
        </w:tc>
        <w:tc>
          <w:tcPr>
            <w:tcW w:w="3888" w:type="dxa"/>
            <w:gridSpan w:val="3"/>
            <w:tcBorders>
              <w:top w:val="single" w:color="auto" w:sz="4" w:space="0"/>
              <w:left w:val="single" w:color="auto" w:sz="4" w:space="0"/>
              <w:bottom w:val="single" w:color="auto" w:sz="4" w:space="0"/>
              <w:right w:val="single" w:color="auto" w:sz="4" w:space="0"/>
            </w:tcBorders>
            <w:noWrap w:val="0"/>
            <w:vAlign w:val="center"/>
          </w:tcPr>
          <w:p w14:paraId="0FED12A9">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﹥1350</w:t>
            </w:r>
          </w:p>
        </w:tc>
      </w:tr>
      <w:tr w14:paraId="15EF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6" w:type="dxa"/>
            <w:tcBorders>
              <w:top w:val="single" w:color="auto" w:sz="4" w:space="0"/>
              <w:left w:val="single" w:color="auto" w:sz="4" w:space="0"/>
              <w:bottom w:val="single" w:color="auto" w:sz="4" w:space="0"/>
              <w:right w:val="single" w:color="auto" w:sz="4" w:space="0"/>
            </w:tcBorders>
            <w:noWrap w:val="0"/>
            <w:vAlign w:val="center"/>
          </w:tcPr>
          <w:p w14:paraId="5907963A">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堆积孔隙率</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46746CF1">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w:t>
            </w:r>
          </w:p>
        </w:tc>
        <w:tc>
          <w:tcPr>
            <w:tcW w:w="3888" w:type="dxa"/>
            <w:gridSpan w:val="3"/>
            <w:tcBorders>
              <w:top w:val="single" w:color="auto" w:sz="4" w:space="0"/>
              <w:left w:val="single" w:color="auto" w:sz="4" w:space="0"/>
              <w:bottom w:val="single" w:color="auto" w:sz="4" w:space="0"/>
              <w:right w:val="single" w:color="auto" w:sz="4" w:space="0"/>
            </w:tcBorders>
            <w:noWrap w:val="0"/>
            <w:vAlign w:val="center"/>
          </w:tcPr>
          <w:p w14:paraId="2461D264">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＜47.0</w:t>
            </w:r>
          </w:p>
        </w:tc>
      </w:tr>
    </w:tbl>
    <w:p w14:paraId="094673A0">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（5） 透水水泥混凝土拌合用水应符合现行行业标准《混凝土用水标准》JGJ 63的规定。</w:t>
      </w:r>
    </w:p>
    <w:p w14:paraId="18990B94">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（6）透水水泥混凝土的性能应符合下表规定。</w:t>
      </w:r>
    </w:p>
    <w:p w14:paraId="6D3C1CF9">
      <w:pPr>
        <w:spacing w:line="360" w:lineRule="auto"/>
        <w:ind w:firstLine="560" w:firstLineChars="200"/>
        <w:jc w:val="center"/>
        <w:rPr>
          <w:rFonts w:hint="eastAsia" w:ascii="宋体" w:hAnsi="宋体" w:cs="宋体"/>
          <w:bCs/>
          <w:sz w:val="28"/>
          <w:szCs w:val="24"/>
          <w:highlight w:val="none"/>
        </w:rPr>
      </w:pPr>
      <w:r>
        <w:rPr>
          <w:rFonts w:hint="eastAsia" w:ascii="宋体" w:hAnsi="宋体" w:cs="宋体"/>
          <w:bCs/>
          <w:sz w:val="28"/>
          <w:szCs w:val="24"/>
          <w:highlight w:val="none"/>
        </w:rPr>
        <w:t>透水水泥混凝土的性能</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4603"/>
        <w:gridCol w:w="1451"/>
        <w:gridCol w:w="2288"/>
      </w:tblGrid>
      <w:tr w14:paraId="0680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7" w:type="dxa"/>
            <w:gridSpan w:val="2"/>
            <w:tcBorders>
              <w:top w:val="single" w:color="auto" w:sz="4" w:space="0"/>
              <w:left w:val="single" w:color="auto" w:sz="4" w:space="0"/>
              <w:bottom w:val="single" w:color="auto" w:sz="4" w:space="0"/>
              <w:right w:val="single" w:color="auto" w:sz="4" w:space="0"/>
            </w:tcBorders>
            <w:noWrap w:val="0"/>
            <w:vAlign w:val="center"/>
          </w:tcPr>
          <w:p w14:paraId="470CD4EC">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项   目</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05248C96">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计量单位</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74C37F89">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性能要求</w:t>
            </w:r>
          </w:p>
        </w:tc>
      </w:tr>
      <w:tr w14:paraId="395C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747" w:type="dxa"/>
            <w:gridSpan w:val="2"/>
            <w:tcBorders>
              <w:top w:val="single" w:color="auto" w:sz="4" w:space="0"/>
              <w:left w:val="single" w:color="auto" w:sz="4" w:space="0"/>
              <w:bottom w:val="single" w:color="auto" w:sz="4" w:space="0"/>
              <w:right w:val="single" w:color="auto" w:sz="4" w:space="0"/>
            </w:tcBorders>
            <w:noWrap w:val="0"/>
            <w:vAlign w:val="center"/>
          </w:tcPr>
          <w:p w14:paraId="352F76F9">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耐磨性（磨坑长度）</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542D6406">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mm</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50A01631">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≤35</w:t>
            </w:r>
          </w:p>
        </w:tc>
      </w:tr>
      <w:tr w14:paraId="46A3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7" w:type="dxa"/>
            <w:gridSpan w:val="2"/>
            <w:tcBorders>
              <w:top w:val="single" w:color="auto" w:sz="4" w:space="0"/>
              <w:left w:val="single" w:color="auto" w:sz="4" w:space="0"/>
              <w:bottom w:val="single" w:color="auto" w:sz="4" w:space="0"/>
              <w:right w:val="single" w:color="auto" w:sz="4" w:space="0"/>
            </w:tcBorders>
            <w:noWrap w:val="0"/>
            <w:vAlign w:val="center"/>
          </w:tcPr>
          <w:p w14:paraId="196F0E18">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透水系数（15℃）</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64F65F6D">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mm/s</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41DE233A">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1.8～5.5</w:t>
            </w:r>
          </w:p>
        </w:tc>
      </w:tr>
      <w:tr w14:paraId="421C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Merge w:val="restart"/>
            <w:tcBorders>
              <w:top w:val="single" w:color="auto" w:sz="4" w:space="0"/>
              <w:left w:val="single" w:color="auto" w:sz="4" w:space="0"/>
              <w:bottom w:val="single" w:color="auto" w:sz="4" w:space="0"/>
              <w:right w:val="single" w:color="auto" w:sz="4" w:space="0"/>
            </w:tcBorders>
            <w:noWrap w:val="0"/>
            <w:vAlign w:val="center"/>
          </w:tcPr>
          <w:p w14:paraId="78360F1B">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抗冻性</w:t>
            </w:r>
          </w:p>
        </w:tc>
        <w:tc>
          <w:tcPr>
            <w:tcW w:w="4603" w:type="dxa"/>
            <w:tcBorders>
              <w:top w:val="single" w:color="auto" w:sz="4" w:space="0"/>
              <w:left w:val="single" w:color="auto" w:sz="4" w:space="0"/>
              <w:bottom w:val="single" w:color="auto" w:sz="4" w:space="0"/>
              <w:right w:val="single" w:color="auto" w:sz="4" w:space="0"/>
            </w:tcBorders>
            <w:noWrap w:val="0"/>
            <w:vAlign w:val="center"/>
          </w:tcPr>
          <w:p w14:paraId="242735CA">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50次冻融循环后抗压强度损失率</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2D6C980A">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75C144DF">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≤25</w:t>
            </w:r>
          </w:p>
        </w:tc>
      </w:tr>
      <w:tr w14:paraId="7BED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Merge w:val="continue"/>
            <w:tcBorders>
              <w:top w:val="single" w:color="auto" w:sz="4" w:space="0"/>
              <w:left w:val="single" w:color="auto" w:sz="4" w:space="0"/>
              <w:bottom w:val="single" w:color="auto" w:sz="4" w:space="0"/>
              <w:right w:val="single" w:color="auto" w:sz="4" w:space="0"/>
            </w:tcBorders>
            <w:noWrap w:val="0"/>
            <w:vAlign w:val="center"/>
          </w:tcPr>
          <w:p w14:paraId="0CBCD2C7">
            <w:pPr>
              <w:spacing w:line="360" w:lineRule="auto"/>
              <w:ind w:firstLine="560" w:firstLineChars="200"/>
              <w:rPr>
                <w:rFonts w:hint="eastAsia" w:ascii="宋体" w:hAnsi="宋体" w:cs="宋体"/>
                <w:bCs/>
                <w:sz w:val="28"/>
                <w:szCs w:val="24"/>
                <w:highlight w:val="none"/>
              </w:rPr>
            </w:pPr>
          </w:p>
        </w:tc>
        <w:tc>
          <w:tcPr>
            <w:tcW w:w="4603" w:type="dxa"/>
            <w:tcBorders>
              <w:top w:val="single" w:color="auto" w:sz="4" w:space="0"/>
              <w:left w:val="single" w:color="auto" w:sz="4" w:space="0"/>
              <w:bottom w:val="single" w:color="auto" w:sz="4" w:space="0"/>
              <w:right w:val="single" w:color="auto" w:sz="4" w:space="0"/>
            </w:tcBorders>
            <w:noWrap w:val="0"/>
            <w:vAlign w:val="center"/>
          </w:tcPr>
          <w:p w14:paraId="3F14AC12">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50次冻融循环后质量损失率</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7394F85F">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1877ABE2">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≤5</w:t>
            </w:r>
          </w:p>
        </w:tc>
      </w:tr>
      <w:tr w14:paraId="3ECE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7" w:type="dxa"/>
            <w:gridSpan w:val="2"/>
            <w:tcBorders>
              <w:top w:val="single" w:color="auto" w:sz="4" w:space="0"/>
              <w:left w:val="single" w:color="auto" w:sz="4" w:space="0"/>
              <w:bottom w:val="single" w:color="auto" w:sz="4" w:space="0"/>
              <w:right w:val="single" w:color="auto" w:sz="4" w:space="0"/>
            </w:tcBorders>
            <w:noWrap w:val="0"/>
            <w:vAlign w:val="center"/>
          </w:tcPr>
          <w:p w14:paraId="086BB535">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连续孔隙率</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2AF1F272">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24495BBB">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≥10</w:t>
            </w:r>
          </w:p>
        </w:tc>
      </w:tr>
      <w:tr w14:paraId="11BB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7" w:type="dxa"/>
            <w:gridSpan w:val="2"/>
            <w:tcBorders>
              <w:top w:val="single" w:color="auto" w:sz="4" w:space="0"/>
              <w:left w:val="single" w:color="auto" w:sz="4" w:space="0"/>
              <w:bottom w:val="single" w:color="auto" w:sz="4" w:space="0"/>
              <w:right w:val="single" w:color="auto" w:sz="4" w:space="0"/>
            </w:tcBorders>
            <w:noWrap w:val="0"/>
            <w:vAlign w:val="center"/>
          </w:tcPr>
          <w:p w14:paraId="45EC15FD">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强度等级</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089A4C32">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6791E5D1">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C30</w:t>
            </w:r>
          </w:p>
        </w:tc>
      </w:tr>
      <w:tr w14:paraId="2D92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7" w:type="dxa"/>
            <w:gridSpan w:val="2"/>
            <w:tcBorders>
              <w:top w:val="single" w:color="auto" w:sz="4" w:space="0"/>
              <w:left w:val="single" w:color="auto" w:sz="4" w:space="0"/>
              <w:bottom w:val="single" w:color="auto" w:sz="4" w:space="0"/>
              <w:right w:val="single" w:color="auto" w:sz="4" w:space="0"/>
            </w:tcBorders>
            <w:noWrap w:val="0"/>
            <w:vAlign w:val="center"/>
          </w:tcPr>
          <w:p w14:paraId="2E16C35F">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抗压强度（28d）</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4649A28A">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MPa</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75D33EE3">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≥25.0</w:t>
            </w:r>
          </w:p>
        </w:tc>
      </w:tr>
      <w:tr w14:paraId="2F4A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7" w:type="dxa"/>
            <w:gridSpan w:val="2"/>
            <w:tcBorders>
              <w:top w:val="single" w:color="auto" w:sz="4" w:space="0"/>
              <w:left w:val="single" w:color="auto" w:sz="4" w:space="0"/>
              <w:bottom w:val="single" w:color="auto" w:sz="4" w:space="0"/>
              <w:right w:val="single" w:color="auto" w:sz="4" w:space="0"/>
            </w:tcBorders>
            <w:noWrap w:val="0"/>
            <w:vAlign w:val="center"/>
          </w:tcPr>
          <w:p w14:paraId="673ED7F7">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抗折强度（28d）</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0A445D97">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MPa</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120623EA">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≥4.0</w:t>
            </w:r>
          </w:p>
        </w:tc>
      </w:tr>
      <w:tr w14:paraId="1627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7" w:type="dxa"/>
            <w:gridSpan w:val="2"/>
            <w:tcBorders>
              <w:top w:val="single" w:color="auto" w:sz="4" w:space="0"/>
              <w:left w:val="single" w:color="auto" w:sz="4" w:space="0"/>
              <w:bottom w:val="single" w:color="auto" w:sz="4" w:space="0"/>
              <w:right w:val="single" w:color="auto" w:sz="4" w:space="0"/>
            </w:tcBorders>
            <w:noWrap w:val="0"/>
            <w:vAlign w:val="center"/>
          </w:tcPr>
          <w:p w14:paraId="5D8034C9">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平整度</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2DBB00FD">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mm</w:t>
            </w:r>
          </w:p>
        </w:tc>
        <w:tc>
          <w:tcPr>
            <w:tcW w:w="2288" w:type="dxa"/>
            <w:tcBorders>
              <w:top w:val="single" w:color="auto" w:sz="4" w:space="0"/>
              <w:left w:val="single" w:color="auto" w:sz="4" w:space="0"/>
              <w:bottom w:val="single" w:color="auto" w:sz="4" w:space="0"/>
              <w:right w:val="single" w:color="auto" w:sz="4" w:space="0"/>
            </w:tcBorders>
            <w:noWrap w:val="0"/>
            <w:vAlign w:val="center"/>
          </w:tcPr>
          <w:p w14:paraId="5B6AE0A6">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≤10</w:t>
            </w:r>
          </w:p>
        </w:tc>
      </w:tr>
    </w:tbl>
    <w:p w14:paraId="7B9E7301">
      <w:pPr>
        <w:spacing w:line="360" w:lineRule="auto"/>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（7）透水基层级配碎石集料压碎值应小于等于26%，且塑性指数应小于6，空隙率应大于10%,压实度大于等于96%（重型击实试验法），级配如下表所示。</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710"/>
        <w:gridCol w:w="1159"/>
        <w:gridCol w:w="1102"/>
        <w:gridCol w:w="1055"/>
        <w:gridCol w:w="1055"/>
        <w:gridCol w:w="1055"/>
        <w:gridCol w:w="1055"/>
        <w:gridCol w:w="1057"/>
      </w:tblGrid>
      <w:tr w14:paraId="2C8C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6" w:type="dxa"/>
            <w:gridSpan w:val="9"/>
            <w:tcBorders>
              <w:top w:val="single" w:color="auto" w:sz="4" w:space="0"/>
              <w:left w:val="single" w:color="auto" w:sz="4" w:space="0"/>
              <w:bottom w:val="single" w:color="auto" w:sz="4" w:space="0"/>
              <w:right w:val="single" w:color="auto" w:sz="4" w:space="0"/>
            </w:tcBorders>
            <w:noWrap w:val="0"/>
            <w:vAlign w:val="top"/>
          </w:tcPr>
          <w:p w14:paraId="0BABDA6A">
            <w:pPr>
              <w:spacing w:line="360" w:lineRule="auto"/>
              <w:jc w:val="center"/>
              <w:rPr>
                <w:rFonts w:hint="eastAsia" w:ascii="宋体" w:hAnsi="宋体" w:cs="宋体"/>
                <w:bCs/>
                <w:sz w:val="28"/>
                <w:szCs w:val="24"/>
                <w:highlight w:val="none"/>
              </w:rPr>
            </w:pPr>
            <w:r>
              <w:rPr>
                <w:rFonts w:hint="eastAsia" w:ascii="宋体" w:hAnsi="宋体" w:cs="宋体"/>
                <w:bCs/>
                <w:sz w:val="28"/>
                <w:szCs w:val="24"/>
                <w:highlight w:val="none"/>
              </w:rPr>
              <w:t>通过下列筛孔（mm）的质量百分率（%）</w:t>
            </w:r>
          </w:p>
        </w:tc>
      </w:tr>
      <w:tr w14:paraId="186B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tcBorders>
              <w:top w:val="single" w:color="auto" w:sz="4" w:space="0"/>
              <w:left w:val="single" w:color="auto" w:sz="4" w:space="0"/>
              <w:bottom w:val="single" w:color="auto" w:sz="4" w:space="0"/>
              <w:right w:val="single" w:color="auto" w:sz="4" w:space="0"/>
            </w:tcBorders>
            <w:noWrap w:val="0"/>
            <w:vAlign w:val="top"/>
          </w:tcPr>
          <w:p w14:paraId="343AD5AE">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筛孔尺寸</w:t>
            </w:r>
          </w:p>
        </w:tc>
        <w:tc>
          <w:tcPr>
            <w:tcW w:w="710" w:type="dxa"/>
            <w:tcBorders>
              <w:top w:val="single" w:color="auto" w:sz="4" w:space="0"/>
              <w:left w:val="single" w:color="auto" w:sz="4" w:space="0"/>
              <w:bottom w:val="single" w:color="auto" w:sz="4" w:space="0"/>
              <w:right w:val="single" w:color="auto" w:sz="4" w:space="0"/>
            </w:tcBorders>
            <w:noWrap w:val="0"/>
            <w:vAlign w:val="top"/>
          </w:tcPr>
          <w:p w14:paraId="5C4DB44C">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37.5</w:t>
            </w:r>
          </w:p>
        </w:tc>
        <w:tc>
          <w:tcPr>
            <w:tcW w:w="1159" w:type="dxa"/>
            <w:tcBorders>
              <w:top w:val="single" w:color="auto" w:sz="4" w:space="0"/>
              <w:left w:val="single" w:color="auto" w:sz="4" w:space="0"/>
              <w:bottom w:val="single" w:color="auto" w:sz="4" w:space="0"/>
              <w:right w:val="single" w:color="auto" w:sz="4" w:space="0"/>
            </w:tcBorders>
            <w:noWrap w:val="0"/>
            <w:vAlign w:val="top"/>
          </w:tcPr>
          <w:p w14:paraId="11A0A0DB">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31.5</w:t>
            </w:r>
          </w:p>
        </w:tc>
        <w:tc>
          <w:tcPr>
            <w:tcW w:w="1102" w:type="dxa"/>
            <w:tcBorders>
              <w:top w:val="single" w:color="auto" w:sz="4" w:space="0"/>
              <w:left w:val="single" w:color="auto" w:sz="4" w:space="0"/>
              <w:bottom w:val="single" w:color="auto" w:sz="4" w:space="0"/>
              <w:right w:val="single" w:color="auto" w:sz="4" w:space="0"/>
            </w:tcBorders>
            <w:noWrap w:val="0"/>
            <w:vAlign w:val="top"/>
          </w:tcPr>
          <w:p w14:paraId="4CC564A9">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19.0</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4DFB22DF">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9.5</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4DDF7724">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4.75</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33B55A02">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1.18</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72E4BE67">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0.6</w:t>
            </w:r>
          </w:p>
        </w:tc>
        <w:tc>
          <w:tcPr>
            <w:tcW w:w="1057" w:type="dxa"/>
            <w:tcBorders>
              <w:top w:val="single" w:color="auto" w:sz="4" w:space="0"/>
              <w:left w:val="single" w:color="auto" w:sz="4" w:space="0"/>
              <w:bottom w:val="single" w:color="auto" w:sz="4" w:space="0"/>
              <w:right w:val="single" w:color="auto" w:sz="4" w:space="0"/>
            </w:tcBorders>
            <w:noWrap w:val="0"/>
            <w:vAlign w:val="top"/>
          </w:tcPr>
          <w:p w14:paraId="7A4ECDFC">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0.075</w:t>
            </w:r>
          </w:p>
        </w:tc>
      </w:tr>
      <w:tr w14:paraId="1B19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tcBorders>
              <w:top w:val="single" w:color="auto" w:sz="4" w:space="0"/>
              <w:left w:val="single" w:color="auto" w:sz="4" w:space="0"/>
              <w:bottom w:val="single" w:color="auto" w:sz="4" w:space="0"/>
              <w:right w:val="single" w:color="auto" w:sz="4" w:space="0"/>
            </w:tcBorders>
            <w:noWrap w:val="0"/>
            <w:vAlign w:val="top"/>
          </w:tcPr>
          <w:p w14:paraId="216D76EF">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通过率</w:t>
            </w:r>
          </w:p>
        </w:tc>
        <w:tc>
          <w:tcPr>
            <w:tcW w:w="710" w:type="dxa"/>
            <w:tcBorders>
              <w:top w:val="single" w:color="auto" w:sz="4" w:space="0"/>
              <w:left w:val="single" w:color="auto" w:sz="4" w:space="0"/>
              <w:bottom w:val="single" w:color="auto" w:sz="4" w:space="0"/>
              <w:right w:val="single" w:color="auto" w:sz="4" w:space="0"/>
            </w:tcBorders>
            <w:noWrap w:val="0"/>
            <w:vAlign w:val="top"/>
          </w:tcPr>
          <w:p w14:paraId="4341B523">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100</w:t>
            </w:r>
          </w:p>
        </w:tc>
        <w:tc>
          <w:tcPr>
            <w:tcW w:w="1159" w:type="dxa"/>
            <w:tcBorders>
              <w:top w:val="single" w:color="auto" w:sz="4" w:space="0"/>
              <w:left w:val="single" w:color="auto" w:sz="4" w:space="0"/>
              <w:bottom w:val="single" w:color="auto" w:sz="4" w:space="0"/>
              <w:right w:val="single" w:color="auto" w:sz="4" w:space="0"/>
            </w:tcBorders>
            <w:noWrap w:val="0"/>
            <w:vAlign w:val="top"/>
          </w:tcPr>
          <w:p w14:paraId="58E572F5">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90～100</w:t>
            </w:r>
          </w:p>
        </w:tc>
        <w:tc>
          <w:tcPr>
            <w:tcW w:w="1102" w:type="dxa"/>
            <w:tcBorders>
              <w:top w:val="single" w:color="auto" w:sz="4" w:space="0"/>
              <w:left w:val="single" w:color="auto" w:sz="4" w:space="0"/>
              <w:bottom w:val="single" w:color="auto" w:sz="4" w:space="0"/>
              <w:right w:val="single" w:color="auto" w:sz="4" w:space="0"/>
            </w:tcBorders>
            <w:noWrap w:val="0"/>
            <w:vAlign w:val="top"/>
          </w:tcPr>
          <w:p w14:paraId="1CF498AC">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73～88</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28729541">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49～69</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38ABF861">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29～54</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62E25600">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17～37</w:t>
            </w:r>
          </w:p>
        </w:tc>
        <w:tc>
          <w:tcPr>
            <w:tcW w:w="1055" w:type="dxa"/>
            <w:tcBorders>
              <w:top w:val="single" w:color="auto" w:sz="4" w:space="0"/>
              <w:left w:val="single" w:color="auto" w:sz="4" w:space="0"/>
              <w:bottom w:val="single" w:color="auto" w:sz="4" w:space="0"/>
              <w:right w:val="single" w:color="auto" w:sz="4" w:space="0"/>
            </w:tcBorders>
            <w:noWrap w:val="0"/>
            <w:vAlign w:val="top"/>
          </w:tcPr>
          <w:p w14:paraId="04D46163">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8～20</w:t>
            </w:r>
          </w:p>
        </w:tc>
        <w:tc>
          <w:tcPr>
            <w:tcW w:w="1057" w:type="dxa"/>
            <w:tcBorders>
              <w:top w:val="single" w:color="auto" w:sz="4" w:space="0"/>
              <w:left w:val="single" w:color="auto" w:sz="4" w:space="0"/>
              <w:bottom w:val="single" w:color="auto" w:sz="4" w:space="0"/>
              <w:right w:val="single" w:color="auto" w:sz="4" w:space="0"/>
            </w:tcBorders>
            <w:noWrap w:val="0"/>
            <w:vAlign w:val="top"/>
          </w:tcPr>
          <w:p w14:paraId="107EF3BC">
            <w:pPr>
              <w:spacing w:line="360" w:lineRule="auto"/>
              <w:rPr>
                <w:rFonts w:hint="eastAsia" w:ascii="宋体" w:hAnsi="宋体" w:cs="宋体"/>
                <w:bCs/>
                <w:sz w:val="28"/>
                <w:szCs w:val="24"/>
                <w:highlight w:val="none"/>
              </w:rPr>
            </w:pPr>
            <w:r>
              <w:rPr>
                <w:rFonts w:hint="eastAsia" w:ascii="宋体" w:hAnsi="宋体" w:cs="宋体"/>
                <w:bCs/>
                <w:sz w:val="28"/>
                <w:szCs w:val="24"/>
                <w:highlight w:val="none"/>
              </w:rPr>
              <w:t>0～7</w:t>
            </w:r>
          </w:p>
        </w:tc>
      </w:tr>
    </w:tbl>
    <w:p w14:paraId="35E66D1B">
      <w:pPr>
        <w:numPr>
          <w:ilvl w:val="0"/>
          <w:numId w:val="7"/>
        </w:numPr>
        <w:spacing w:line="360" w:lineRule="auto"/>
        <w:ind w:firstLine="504" w:firstLineChars="180"/>
        <w:rPr>
          <w:rFonts w:hint="eastAsia" w:ascii="宋体" w:hAnsi="宋体" w:cs="宋体"/>
          <w:bCs/>
          <w:sz w:val="28"/>
          <w:szCs w:val="24"/>
          <w:highlight w:val="none"/>
        </w:rPr>
        <w:sectPr>
          <w:headerReference r:id="rId6" w:type="default"/>
          <w:footerReference r:id="rId7" w:type="default"/>
          <w:pgSz w:w="11906" w:h="16838"/>
          <w:pgMar w:top="1440" w:right="952" w:bottom="1440" w:left="1123" w:header="851" w:footer="992" w:gutter="0"/>
          <w:pgNumType w:fmt="decimal" w:start="1"/>
          <w:cols w:space="720" w:num="1"/>
          <w:docGrid w:type="lines" w:linePitch="312" w:charSpace="0"/>
        </w:sectPr>
      </w:pPr>
      <w:r>
        <w:rPr>
          <w:rFonts w:hint="eastAsia" w:ascii="宋体" w:hAnsi="宋体" w:cs="宋体"/>
          <w:bCs/>
          <w:sz w:val="28"/>
          <w:szCs w:val="24"/>
          <w:highlight w:val="none"/>
        </w:rPr>
        <w:t>透水混凝土路面横向缩缝采用不设传力杆的假缝，间距为6m（缩缝位置宜与两侧石材接缝平齐），顶部切宽3～5mm，深不小于30mm，并填塞填缝料；当透水混凝土路面施工长度超过30m或与沥青铺面相交处、雨水口等其他构筑物连接处应设置账缝，胀缝宽度宜为20～25mm，深度贯穿整个面层，并填塞填缝料；填缝材料不得采用热流动性材料，用采用聚氨酯、氯丁橡胶或沥青橡胶类材料。</w:t>
      </w:r>
    </w:p>
    <w:tbl>
      <w:tblPr>
        <w:tblStyle w:val="14"/>
        <w:tblW w:w="13693" w:type="dxa"/>
        <w:tblInd w:w="0" w:type="dxa"/>
        <w:tblLayout w:type="autofit"/>
        <w:tblCellMar>
          <w:top w:w="0" w:type="dxa"/>
          <w:left w:w="0" w:type="dxa"/>
          <w:bottom w:w="0" w:type="dxa"/>
          <w:right w:w="0" w:type="dxa"/>
        </w:tblCellMar>
      </w:tblPr>
      <w:tblGrid>
        <w:gridCol w:w="360"/>
        <w:gridCol w:w="157"/>
        <w:gridCol w:w="959"/>
        <w:gridCol w:w="67"/>
        <w:gridCol w:w="305"/>
        <w:gridCol w:w="448"/>
        <w:gridCol w:w="1128"/>
        <w:gridCol w:w="1309"/>
        <w:gridCol w:w="8960"/>
      </w:tblGrid>
      <w:tr w14:paraId="5192214F">
        <w:tblPrEx>
          <w:tblCellMar>
            <w:top w:w="0" w:type="dxa"/>
            <w:left w:w="0" w:type="dxa"/>
            <w:bottom w:w="0" w:type="dxa"/>
            <w:right w:w="0" w:type="dxa"/>
          </w:tblCellMar>
        </w:tblPrEx>
        <w:trPr>
          <w:trHeight w:val="437" w:hRule="atLeast"/>
        </w:trPr>
        <w:tc>
          <w:tcPr>
            <w:tcW w:w="13693" w:type="dxa"/>
            <w:gridSpan w:val="9"/>
            <w:tcBorders>
              <w:top w:val="nil"/>
              <w:left w:val="nil"/>
              <w:bottom w:val="single" w:color="000000" w:sz="4" w:space="0"/>
              <w:right w:val="nil"/>
            </w:tcBorders>
            <w:noWrap/>
            <w:tcMar>
              <w:top w:w="15" w:type="dxa"/>
              <w:left w:w="15" w:type="dxa"/>
              <w:right w:w="15" w:type="dxa"/>
            </w:tcMar>
            <w:vAlign w:val="center"/>
          </w:tcPr>
          <w:p w14:paraId="2A13448C">
            <w:pPr>
              <w:widowControl/>
              <w:jc w:val="center"/>
              <w:textAlignment w:val="center"/>
              <w:rPr>
                <w:rFonts w:hint="eastAsia" w:ascii="宋体" w:hAnsi="宋体" w:cs="宋体"/>
                <w:sz w:val="36"/>
                <w:szCs w:val="36"/>
                <w:highlight w:val="none"/>
              </w:rPr>
            </w:pPr>
            <w:r>
              <w:rPr>
                <w:rFonts w:hint="eastAsia" w:ascii="宋体" w:hAnsi="宋体" w:cs="宋体"/>
                <w:kern w:val="0"/>
                <w:sz w:val="36"/>
                <w:szCs w:val="36"/>
                <w:highlight w:val="none"/>
              </w:rPr>
              <w:t>市政建设材料规格书</w:t>
            </w:r>
          </w:p>
        </w:tc>
      </w:tr>
      <w:tr w14:paraId="6734E723">
        <w:tblPrEx>
          <w:tblCellMar>
            <w:top w:w="0" w:type="dxa"/>
            <w:left w:w="0" w:type="dxa"/>
            <w:bottom w:w="0" w:type="dxa"/>
            <w:right w:w="0" w:type="dxa"/>
          </w:tblCellMar>
        </w:tblPrEx>
        <w:trPr>
          <w:trHeight w:val="329" w:hRule="atLeast"/>
        </w:trPr>
        <w:tc>
          <w:tcPr>
            <w:tcW w:w="51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555C9D">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序号</w:t>
            </w:r>
          </w:p>
        </w:tc>
        <w:tc>
          <w:tcPr>
            <w:tcW w:w="102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8B1AC">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专业类别</w:t>
            </w:r>
          </w:p>
        </w:tc>
        <w:tc>
          <w:tcPr>
            <w:tcW w:w="75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8026A">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序号</w:t>
            </w:r>
          </w:p>
        </w:tc>
        <w:tc>
          <w:tcPr>
            <w:tcW w:w="11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63035">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材料名称</w:t>
            </w:r>
          </w:p>
        </w:tc>
        <w:tc>
          <w:tcPr>
            <w:tcW w:w="13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E6653C">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使用位置</w:t>
            </w:r>
          </w:p>
        </w:tc>
        <w:tc>
          <w:tcPr>
            <w:tcW w:w="89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098683">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技术参数</w:t>
            </w:r>
          </w:p>
        </w:tc>
      </w:tr>
      <w:tr w14:paraId="66070CDC">
        <w:tblPrEx>
          <w:tblCellMar>
            <w:top w:w="0" w:type="dxa"/>
            <w:left w:w="0" w:type="dxa"/>
            <w:bottom w:w="0" w:type="dxa"/>
            <w:right w:w="0" w:type="dxa"/>
          </w:tblCellMar>
        </w:tblPrEx>
        <w:trPr>
          <w:trHeight w:val="2873" w:hRule="atLeast"/>
        </w:trPr>
        <w:tc>
          <w:tcPr>
            <w:tcW w:w="517"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B10055">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1</w:t>
            </w:r>
          </w:p>
        </w:tc>
        <w:tc>
          <w:tcPr>
            <w:tcW w:w="1026" w:type="dxa"/>
            <w:gridSpan w:val="2"/>
            <w:vMerge w:val="restart"/>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25E9F1F1">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雨、污水专业</w:t>
            </w:r>
          </w:p>
        </w:tc>
        <w:tc>
          <w:tcPr>
            <w:tcW w:w="75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7632E0">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1</w:t>
            </w:r>
          </w:p>
        </w:tc>
        <w:tc>
          <w:tcPr>
            <w:tcW w:w="1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697A4">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球墨铸铁井盖及井篦子</w:t>
            </w:r>
          </w:p>
        </w:tc>
        <w:tc>
          <w:tcPr>
            <w:tcW w:w="13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E0B3E">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雨污水检查井及雨水收水口</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D526B">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1、设计检查井井筒内径尺寸不小于700mm。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检查井井框、盖表面标识除按照高新区统一要求（VI标准），带有“西安高新”字样外，检查井井框、盖的结构形式、材料、要求、包装、运输、储存、试验方法及检验规则均按国标《检查井盖》（GB/T23858-2009）中要求执行。</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3、雨、污水井盖采用卡簧式球墨铸铁井盖，参见14S501-1/33；井框采用倒承式球墨铸铁井座，参见14S501-1/34。</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4、电力、电信井盖要求其上带有高新统一图案样式（VI标准），井盖材质及防水、防盗等方面按照原施工图的设计要求执行。</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5、当检查井位于车行道下时（含机动车道及非机动车道），井框、盖承载等级为D400级（F≥125kN）或C250级(F≥250kN)。</w:t>
            </w:r>
          </w:p>
        </w:tc>
      </w:tr>
      <w:tr w14:paraId="34D8E214">
        <w:tblPrEx>
          <w:tblCellMar>
            <w:top w:w="0" w:type="dxa"/>
            <w:left w:w="0" w:type="dxa"/>
            <w:bottom w:w="0" w:type="dxa"/>
            <w:right w:w="0" w:type="dxa"/>
          </w:tblCellMar>
        </w:tblPrEx>
        <w:trPr>
          <w:trHeight w:val="842" w:hRule="atLeast"/>
        </w:trPr>
        <w:tc>
          <w:tcPr>
            <w:tcW w:w="517"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2E6177">
            <w:pPr>
              <w:jc w:val="center"/>
              <w:rPr>
                <w:rFonts w:hint="eastAsia" w:ascii="宋体" w:hAnsi="宋体" w:cs="宋体"/>
                <w:sz w:val="24"/>
                <w:szCs w:val="24"/>
                <w:highlight w:val="none"/>
              </w:rPr>
            </w:pPr>
          </w:p>
        </w:tc>
        <w:tc>
          <w:tcPr>
            <w:tcW w:w="1026" w:type="dxa"/>
            <w:gridSpan w:val="2"/>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1F6E36B3">
            <w:pPr>
              <w:jc w:val="center"/>
              <w:rPr>
                <w:rFonts w:hint="eastAsia" w:ascii="宋体" w:hAnsi="宋体" w:cs="宋体"/>
                <w:sz w:val="24"/>
                <w:szCs w:val="24"/>
                <w:highlight w:val="none"/>
              </w:rPr>
            </w:pPr>
          </w:p>
        </w:tc>
        <w:tc>
          <w:tcPr>
            <w:tcW w:w="75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61C2AA">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2</w:t>
            </w:r>
          </w:p>
        </w:tc>
        <w:tc>
          <w:tcPr>
            <w:tcW w:w="1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6BAC5">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钢带增强聚乙烯螺旋波纹管</w:t>
            </w:r>
          </w:p>
        </w:tc>
        <w:tc>
          <w:tcPr>
            <w:tcW w:w="13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4DB44A">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20米及以下道路</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F41C4">
            <w:pPr>
              <w:rPr>
                <w:rFonts w:hint="eastAsia" w:ascii="宋体" w:hAnsi="宋体" w:cs="宋体"/>
                <w:sz w:val="24"/>
                <w:szCs w:val="24"/>
                <w:highlight w:val="none"/>
              </w:rPr>
            </w:pPr>
          </w:p>
        </w:tc>
      </w:tr>
      <w:tr w14:paraId="1FA11D32">
        <w:tblPrEx>
          <w:tblCellMar>
            <w:top w:w="0" w:type="dxa"/>
            <w:left w:w="0" w:type="dxa"/>
            <w:bottom w:w="0" w:type="dxa"/>
            <w:right w:w="0" w:type="dxa"/>
          </w:tblCellMar>
        </w:tblPrEx>
        <w:trPr>
          <w:trHeight w:val="2018" w:hRule="atLeast"/>
        </w:trPr>
        <w:tc>
          <w:tcPr>
            <w:tcW w:w="517"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35F4DA">
            <w:pPr>
              <w:jc w:val="center"/>
              <w:rPr>
                <w:rFonts w:hint="eastAsia" w:ascii="宋体" w:hAnsi="宋体" w:cs="宋体"/>
                <w:sz w:val="24"/>
                <w:szCs w:val="24"/>
                <w:highlight w:val="none"/>
              </w:rPr>
            </w:pPr>
          </w:p>
        </w:tc>
        <w:tc>
          <w:tcPr>
            <w:tcW w:w="1026" w:type="dxa"/>
            <w:gridSpan w:val="2"/>
            <w:vMerge w:val="continue"/>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25241C5F">
            <w:pPr>
              <w:jc w:val="center"/>
              <w:rPr>
                <w:rFonts w:hint="eastAsia" w:ascii="宋体" w:hAnsi="宋体" w:cs="宋体"/>
                <w:sz w:val="24"/>
                <w:szCs w:val="24"/>
                <w:highlight w:val="none"/>
              </w:rPr>
            </w:pPr>
          </w:p>
        </w:tc>
        <w:tc>
          <w:tcPr>
            <w:tcW w:w="75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70563F">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3</w:t>
            </w:r>
          </w:p>
        </w:tc>
        <w:tc>
          <w:tcPr>
            <w:tcW w:w="11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920595">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混凝土管</w:t>
            </w:r>
          </w:p>
        </w:tc>
        <w:tc>
          <w:tcPr>
            <w:tcW w:w="13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BE5DF">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雨、污水开槽施工、顶管施工</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8DED0">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管材：d≤800mm的管道采用Ⅱ级钢筋混凝土承插口管，d＞800mm的管道采用Ⅱ级、Ⅲ级钢筋混凝土钢承口管，管材等级依据埋深及施工方式（开槽施工、顶管施工）确定。管材应符合《混凝土和钢筋混凝土排水管》（GB/T 11836-2009）的相关要求。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2、管道接口采用橡胶圈接口，详见06MS201-1/23。橡胶采用三元乙丙橡胶，使用寿命不少于50年，接口胶圈性能详见06MS201-1/40附录三的要求。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3、管道基础采用120°、180°混凝土基础，具体详见04S531-1/13、14的要求。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4、对于湿陷性黄土地质，检查井选井采用04S531-5及06MS201-3图集中的检查井。</w:t>
            </w:r>
          </w:p>
        </w:tc>
      </w:tr>
      <w:tr w14:paraId="3FB8871B">
        <w:tblPrEx>
          <w:tblCellMar>
            <w:top w:w="0" w:type="dxa"/>
            <w:left w:w="0" w:type="dxa"/>
            <w:bottom w:w="0" w:type="dxa"/>
            <w:right w:w="0" w:type="dxa"/>
          </w:tblCellMar>
        </w:tblPrEx>
        <w:trPr>
          <w:trHeight w:val="2873" w:hRule="atLeast"/>
        </w:trPr>
        <w:tc>
          <w:tcPr>
            <w:tcW w:w="36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2EB5513">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2</w:t>
            </w:r>
          </w:p>
        </w:tc>
        <w:tc>
          <w:tcPr>
            <w:tcW w:w="111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17FE9">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中水</w:t>
            </w: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60722C">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1</w:t>
            </w:r>
          </w:p>
        </w:tc>
        <w:tc>
          <w:tcPr>
            <w:tcW w:w="157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8DD152">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中水管道</w:t>
            </w:r>
          </w:p>
        </w:tc>
        <w:tc>
          <w:tcPr>
            <w:tcW w:w="13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4D1E11">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中水施工</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CAA52">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1、中水管道管径DN≤300mm时，采用PE100聚乙烯给水管，管径DN＞300mm时可采用球墨铸铁管。管径DN≤300mm时，若埋深较浅，且位于车行道下，也可更换为球墨铸铁管。</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2、PE100聚乙烯给水管应符合《给水用聚乙烯（PE）管道系统第1部分：管材 （GB/T13663.1-2017）》及《给水用聚乙烯（PE）管道系统第2部分：管件 （GB/T13663.2-2018）》的相关要求。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球墨铸铁管及管件：壁厚级别系数K9级，T型橡胶圈柔性承插接口，管材成品防腐。质量、规格应符合《水及燃气管道用球墨铸铁管管件和附件》（GB/T13295-2008）要求。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3、PE100聚乙烯管道采用120°砂基础，接口采用电热熔焊接。接口应按照《埋地塑料给水管道工程技术规程》（CJJ101-2016）P32第5.3.13条相关规定执行。</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球墨铸铁管管道基础采用120°混凝土基础，具体详见04S531-1/10的要求。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4、设计时不考虑两侧用户的中水管道预埋，后续根据企业需求再进行接户设计。</w:t>
            </w:r>
          </w:p>
        </w:tc>
      </w:tr>
      <w:tr w14:paraId="4052477B">
        <w:tblPrEx>
          <w:tblCellMar>
            <w:top w:w="0" w:type="dxa"/>
            <w:left w:w="0" w:type="dxa"/>
            <w:bottom w:w="0" w:type="dxa"/>
            <w:right w:w="0" w:type="dxa"/>
          </w:tblCellMar>
        </w:tblPrEx>
        <w:trPr>
          <w:trHeight w:val="3441" w:hRule="atLeast"/>
        </w:trPr>
        <w:tc>
          <w:tcPr>
            <w:tcW w:w="36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97CE3E">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3</w:t>
            </w:r>
          </w:p>
        </w:tc>
        <w:tc>
          <w:tcPr>
            <w:tcW w:w="1116"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7D56A">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道路专业</w:t>
            </w: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A97ADA">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1</w:t>
            </w:r>
          </w:p>
        </w:tc>
        <w:tc>
          <w:tcPr>
            <w:tcW w:w="157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3917E">
            <w:pPr>
              <w:widowControl/>
              <w:jc w:val="left"/>
              <w:textAlignment w:val="center"/>
              <w:rPr>
                <w:rFonts w:hint="eastAsia" w:ascii="宋体" w:hAnsi="宋体" w:cs="宋体"/>
                <w:sz w:val="22"/>
                <w:highlight w:val="none"/>
              </w:rPr>
            </w:pPr>
            <w:r>
              <w:rPr>
                <w:rStyle w:val="19"/>
                <w:rFonts w:hint="default"/>
                <w:color w:val="auto"/>
                <w:sz w:val="22"/>
                <w:szCs w:val="22"/>
                <w:highlight w:val="none"/>
              </w:rPr>
              <w:t>细粒式沥青混凝土（</w:t>
            </w:r>
            <w:r>
              <w:rPr>
                <w:rStyle w:val="20"/>
                <w:rFonts w:hint="eastAsia" w:ascii="宋体" w:hAnsi="宋体" w:cs="宋体"/>
                <w:color w:val="auto"/>
                <w:sz w:val="22"/>
                <w:szCs w:val="22"/>
                <w:highlight w:val="none"/>
              </w:rPr>
              <w:t>AC-13</w:t>
            </w:r>
            <w:r>
              <w:rPr>
                <w:rStyle w:val="19"/>
                <w:rFonts w:hint="default"/>
                <w:color w:val="auto"/>
                <w:sz w:val="22"/>
                <w:szCs w:val="22"/>
                <w:highlight w:val="none"/>
              </w:rPr>
              <w:t>）</w:t>
            </w:r>
          </w:p>
        </w:tc>
        <w:tc>
          <w:tcPr>
            <w:tcW w:w="13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2C9C9">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辅道（机非混行）、支路（机非混行）、非机动车道上面层</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9DD5F">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（1）沥青混合料设计空隙率3-5%；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级配类型：通过筛孔(方孔筛,mm)的质量百分比(%)进行</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粒径： 26.5  19   16  13.2   9.5   4.75  2.36  1.18   0.6    0.3  0.15  0.075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AC-13： --   --  100 90-100 68-85 38-68 24-50 15-38  10-28  7-20  5-15   4-8</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沥青：要求选用优质70号A级石油沥青。</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2）集料：</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①粗集料：应选择与沥青粘附性&gt; 4级、压碎值 &lt;28％、冲击值&lt; 42 BPN、磨光值≥38、针片状含量 &lt;18％的洁净、均匀石料。</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②细集料：应选择洁净、干燥、无风化、无杂质，并具有适当颗粒级配。</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（3）填料：必须采用石灰岩经磨细得到的矿粉，原石料中的泥土杂质应除净。</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（4）路用性能技术要求：低温弯曲试验破坏应变≥2000（με）；动稳定度≥1000（次/mm）；浸水马歇尔残留稳定度≥80%，冻融劈裂试验残留强度比≥75%</w:t>
            </w:r>
          </w:p>
        </w:tc>
      </w:tr>
      <w:tr w14:paraId="24F63BF7">
        <w:tblPrEx>
          <w:tblCellMar>
            <w:top w:w="0" w:type="dxa"/>
            <w:left w:w="0" w:type="dxa"/>
            <w:bottom w:w="0" w:type="dxa"/>
            <w:right w:w="0" w:type="dxa"/>
          </w:tblCellMar>
        </w:tblPrEx>
        <w:trPr>
          <w:trHeight w:val="90"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0B174F">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5F5318">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217AB8">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2</w:t>
            </w:r>
          </w:p>
        </w:tc>
        <w:tc>
          <w:tcPr>
            <w:tcW w:w="157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F2F4B">
            <w:pPr>
              <w:widowControl/>
              <w:jc w:val="left"/>
              <w:textAlignment w:val="center"/>
              <w:rPr>
                <w:rFonts w:hint="eastAsia" w:ascii="宋体" w:hAnsi="宋体" w:cs="宋体"/>
                <w:sz w:val="22"/>
                <w:highlight w:val="none"/>
              </w:rPr>
            </w:pPr>
            <w:r>
              <w:rPr>
                <w:rStyle w:val="19"/>
                <w:rFonts w:hint="default"/>
                <w:color w:val="auto"/>
                <w:sz w:val="22"/>
                <w:szCs w:val="22"/>
                <w:highlight w:val="none"/>
              </w:rPr>
              <w:t>细粒式</w:t>
            </w:r>
            <w:r>
              <w:rPr>
                <w:rStyle w:val="20"/>
                <w:rFonts w:hint="eastAsia" w:ascii="宋体" w:hAnsi="宋体" w:cs="宋体"/>
                <w:color w:val="auto"/>
                <w:sz w:val="22"/>
                <w:szCs w:val="22"/>
                <w:highlight w:val="none"/>
              </w:rPr>
              <w:t>SBS</w:t>
            </w:r>
            <w:r>
              <w:rPr>
                <w:rStyle w:val="19"/>
                <w:rFonts w:hint="default"/>
                <w:color w:val="auto"/>
                <w:sz w:val="22"/>
                <w:szCs w:val="22"/>
                <w:highlight w:val="none"/>
              </w:rPr>
              <w:t>改性沥青</w:t>
            </w:r>
            <w:r>
              <w:rPr>
                <w:rStyle w:val="19"/>
                <w:rFonts w:hint="default"/>
                <w:color w:val="auto"/>
                <w:sz w:val="22"/>
                <w:szCs w:val="22"/>
                <w:highlight w:val="none"/>
              </w:rPr>
              <w:br w:type="textWrapping"/>
            </w:r>
            <w:r>
              <w:rPr>
                <w:rStyle w:val="19"/>
                <w:rFonts w:hint="default"/>
                <w:color w:val="auto"/>
                <w:sz w:val="22"/>
                <w:szCs w:val="22"/>
                <w:highlight w:val="none"/>
              </w:rPr>
              <w:t>混凝土（</w:t>
            </w:r>
            <w:r>
              <w:rPr>
                <w:rStyle w:val="20"/>
                <w:rFonts w:hint="eastAsia" w:ascii="宋体" w:hAnsi="宋体" w:cs="宋体"/>
                <w:color w:val="auto"/>
                <w:sz w:val="22"/>
                <w:szCs w:val="22"/>
                <w:highlight w:val="none"/>
              </w:rPr>
              <w:t>AC-13</w:t>
            </w:r>
            <w:r>
              <w:rPr>
                <w:rStyle w:val="19"/>
                <w:rFonts w:hint="default"/>
                <w:color w:val="auto"/>
                <w:sz w:val="22"/>
                <w:szCs w:val="22"/>
                <w:highlight w:val="none"/>
              </w:rPr>
              <w:t>）</w:t>
            </w:r>
          </w:p>
        </w:tc>
        <w:tc>
          <w:tcPr>
            <w:tcW w:w="13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0BBE9">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快速路、主干路、次干路</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机动车道上面层</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B3C37">
            <w:pPr>
              <w:widowControl/>
              <w:jc w:val="left"/>
              <w:textAlignment w:val="center"/>
              <w:rPr>
                <w:rFonts w:hint="eastAsia" w:ascii="宋体" w:hAnsi="宋体" w:cs="宋体"/>
                <w:sz w:val="24"/>
                <w:szCs w:val="24"/>
                <w:highlight w:val="none"/>
              </w:rPr>
            </w:pPr>
            <w:r>
              <w:rPr>
                <w:rStyle w:val="21"/>
                <w:rFonts w:hint="default"/>
                <w:color w:val="auto"/>
                <w:sz w:val="24"/>
                <w:szCs w:val="24"/>
                <w:highlight w:val="none"/>
              </w:rPr>
              <w:t>1、沥青混合料设计空隙率3-5%；</w:t>
            </w:r>
            <w:r>
              <w:rPr>
                <w:rStyle w:val="21"/>
                <w:rFonts w:hint="default"/>
                <w:color w:val="auto"/>
                <w:sz w:val="24"/>
                <w:szCs w:val="24"/>
                <w:highlight w:val="none"/>
              </w:rPr>
              <w:br w:type="textWrapping"/>
            </w:r>
            <w:r>
              <w:rPr>
                <w:rStyle w:val="21"/>
                <w:rFonts w:hint="default"/>
                <w:color w:val="auto"/>
                <w:sz w:val="24"/>
                <w:szCs w:val="24"/>
                <w:highlight w:val="none"/>
              </w:rPr>
              <w:t xml:space="preserve">级配类型：通过下列筛孔(方孔筛,mm)的质量百分比(%) </w:t>
            </w:r>
            <w:r>
              <w:rPr>
                <w:rStyle w:val="21"/>
                <w:rFonts w:hint="default"/>
                <w:color w:val="auto"/>
                <w:sz w:val="24"/>
                <w:szCs w:val="24"/>
                <w:highlight w:val="none"/>
              </w:rPr>
              <w:br w:type="textWrapping"/>
            </w:r>
            <w:r>
              <w:rPr>
                <w:rStyle w:val="21"/>
                <w:rFonts w:hint="default"/>
                <w:color w:val="auto"/>
                <w:sz w:val="24"/>
                <w:szCs w:val="24"/>
                <w:highlight w:val="none"/>
              </w:rPr>
              <w:t>粒径： 26.5  19   16   13.2    9.5    4.75   2.36   1.18    0.6  0.3   0.15  0.075</w:t>
            </w:r>
            <w:r>
              <w:rPr>
                <w:rStyle w:val="21"/>
                <w:rFonts w:hint="default"/>
                <w:color w:val="auto"/>
                <w:sz w:val="24"/>
                <w:szCs w:val="24"/>
                <w:highlight w:val="none"/>
              </w:rPr>
              <w:br w:type="textWrapping"/>
            </w:r>
            <w:r>
              <w:rPr>
                <w:rStyle w:val="21"/>
                <w:rFonts w:hint="default"/>
                <w:color w:val="auto"/>
                <w:sz w:val="24"/>
                <w:szCs w:val="24"/>
                <w:highlight w:val="none"/>
              </w:rPr>
              <w:t>AC-13   --   --  100  90-100  68-85  38-68  24-50  15-38  10-28  7-20  5-15  4-8</w:t>
            </w:r>
            <w:r>
              <w:rPr>
                <w:rStyle w:val="21"/>
                <w:rFonts w:hint="default"/>
                <w:color w:val="auto"/>
                <w:sz w:val="24"/>
                <w:szCs w:val="24"/>
                <w:highlight w:val="none"/>
              </w:rPr>
              <w:br w:type="textWrapping"/>
            </w:r>
            <w:r>
              <w:rPr>
                <w:rStyle w:val="21"/>
                <w:rFonts w:hint="default"/>
                <w:color w:val="auto"/>
                <w:sz w:val="24"/>
                <w:szCs w:val="24"/>
                <w:highlight w:val="none"/>
              </w:rPr>
              <w:t>SBS改性沥青指标技术要求</w:t>
            </w:r>
            <w:r>
              <w:rPr>
                <w:rStyle w:val="21"/>
                <w:rFonts w:hint="default"/>
                <w:color w:val="auto"/>
                <w:sz w:val="24"/>
                <w:szCs w:val="24"/>
                <w:highlight w:val="none"/>
              </w:rPr>
              <w:br w:type="textWrapping"/>
            </w:r>
            <w:r>
              <w:rPr>
                <w:rStyle w:val="21"/>
                <w:rFonts w:hint="default"/>
                <w:color w:val="auto"/>
                <w:sz w:val="24"/>
                <w:szCs w:val="24"/>
                <w:highlight w:val="none"/>
              </w:rPr>
              <w:t>试验项目                          技术指标                试验方法</w:t>
            </w:r>
            <w:r>
              <w:rPr>
                <w:rStyle w:val="21"/>
                <w:rFonts w:hint="default"/>
                <w:color w:val="auto"/>
                <w:sz w:val="24"/>
                <w:szCs w:val="24"/>
                <w:highlight w:val="none"/>
              </w:rPr>
              <w:br w:type="textWrapping"/>
            </w:r>
            <w:r>
              <w:rPr>
                <w:rStyle w:val="21"/>
                <w:rFonts w:hint="default"/>
                <w:color w:val="auto"/>
                <w:sz w:val="24"/>
                <w:szCs w:val="24"/>
                <w:highlight w:val="none"/>
              </w:rPr>
              <w:t>针入度(25℃、100g、5s)，0.1mm      60～80                   T0604</w:t>
            </w:r>
            <w:r>
              <w:rPr>
                <w:rStyle w:val="21"/>
                <w:rFonts w:hint="default"/>
                <w:color w:val="auto"/>
                <w:sz w:val="24"/>
                <w:szCs w:val="24"/>
                <w:highlight w:val="none"/>
              </w:rPr>
              <w:br w:type="textWrapping"/>
            </w:r>
            <w:r>
              <w:rPr>
                <w:rStyle w:val="21"/>
                <w:rFonts w:hint="default"/>
                <w:color w:val="auto"/>
                <w:sz w:val="24"/>
                <w:szCs w:val="24"/>
                <w:highlight w:val="none"/>
              </w:rPr>
              <w:t>针入度指数 PI                      ≥-0.4                   T0604</w:t>
            </w:r>
            <w:r>
              <w:rPr>
                <w:rStyle w:val="21"/>
                <w:rFonts w:hint="default"/>
                <w:color w:val="auto"/>
                <w:sz w:val="24"/>
                <w:szCs w:val="24"/>
                <w:highlight w:val="none"/>
              </w:rPr>
              <w:br w:type="textWrapping"/>
            </w:r>
            <w:r>
              <w:rPr>
                <w:rStyle w:val="21"/>
                <w:rFonts w:hint="default"/>
                <w:color w:val="auto"/>
                <w:sz w:val="24"/>
                <w:szCs w:val="24"/>
                <w:highlight w:val="none"/>
              </w:rPr>
              <w:t>延度(5℃、5cm/min)，cm              ≥30                    T0605</w:t>
            </w:r>
            <w:r>
              <w:rPr>
                <w:rStyle w:val="21"/>
                <w:rFonts w:hint="default"/>
                <w:color w:val="auto"/>
                <w:sz w:val="24"/>
                <w:szCs w:val="24"/>
                <w:highlight w:val="none"/>
              </w:rPr>
              <w:br w:type="textWrapping"/>
            </w:r>
            <w:r>
              <w:rPr>
                <w:rStyle w:val="21"/>
                <w:rFonts w:hint="default"/>
                <w:color w:val="auto"/>
                <w:sz w:val="24"/>
                <w:szCs w:val="24"/>
                <w:highlight w:val="none"/>
              </w:rPr>
              <w:t>软化点(TR&amp;B)，℃                    ≥55                    T0606</w:t>
            </w:r>
            <w:r>
              <w:rPr>
                <w:rStyle w:val="21"/>
                <w:rFonts w:hint="default"/>
                <w:color w:val="auto"/>
                <w:sz w:val="24"/>
                <w:szCs w:val="24"/>
                <w:highlight w:val="none"/>
              </w:rPr>
              <w:br w:type="textWrapping"/>
            </w:r>
            <w:r>
              <w:rPr>
                <w:rStyle w:val="21"/>
                <w:rFonts w:hint="default"/>
                <w:color w:val="auto"/>
                <w:sz w:val="24"/>
                <w:szCs w:val="24"/>
                <w:highlight w:val="none"/>
              </w:rPr>
              <w:t>运动粘度(135℃)，Pa•s               ≤3                     T0625</w:t>
            </w:r>
            <w:r>
              <w:rPr>
                <w:rStyle w:val="21"/>
                <w:rFonts w:hint="default"/>
                <w:color w:val="auto"/>
                <w:sz w:val="24"/>
                <w:szCs w:val="24"/>
                <w:highlight w:val="none"/>
              </w:rPr>
              <w:br w:type="textWrapping"/>
            </w:r>
            <w:r>
              <w:rPr>
                <w:rStyle w:val="21"/>
                <w:rFonts w:hint="default"/>
                <w:color w:val="auto"/>
                <w:sz w:val="24"/>
                <w:szCs w:val="24"/>
                <w:highlight w:val="none"/>
              </w:rPr>
              <w:t>闪点，℃                            ≥230                   T0611</w:t>
            </w:r>
            <w:r>
              <w:rPr>
                <w:rStyle w:val="21"/>
                <w:rFonts w:hint="default"/>
                <w:color w:val="auto"/>
                <w:sz w:val="24"/>
                <w:szCs w:val="24"/>
                <w:highlight w:val="none"/>
              </w:rPr>
              <w:br w:type="textWrapping"/>
            </w:r>
            <w:r>
              <w:rPr>
                <w:rStyle w:val="21"/>
                <w:rFonts w:hint="default"/>
                <w:color w:val="auto"/>
                <w:sz w:val="24"/>
                <w:szCs w:val="24"/>
                <w:highlight w:val="none"/>
              </w:rPr>
              <w:t>溶解度，%                           ≥99                    T0607</w:t>
            </w:r>
            <w:r>
              <w:rPr>
                <w:rStyle w:val="21"/>
                <w:rFonts w:hint="default"/>
                <w:color w:val="auto"/>
                <w:sz w:val="24"/>
                <w:szCs w:val="24"/>
                <w:highlight w:val="none"/>
              </w:rPr>
              <w:br w:type="textWrapping"/>
            </w:r>
            <w:r>
              <w:rPr>
                <w:rStyle w:val="21"/>
                <w:rFonts w:hint="default"/>
                <w:color w:val="auto"/>
                <w:sz w:val="24"/>
                <w:szCs w:val="24"/>
                <w:highlight w:val="none"/>
              </w:rPr>
              <w:t>弹性恢复(25℃)，%                   ≥65                    T0662</w:t>
            </w:r>
            <w:r>
              <w:rPr>
                <w:rStyle w:val="21"/>
                <w:rFonts w:hint="default"/>
                <w:color w:val="auto"/>
                <w:sz w:val="24"/>
                <w:szCs w:val="24"/>
                <w:highlight w:val="none"/>
              </w:rPr>
              <w:br w:type="textWrapping"/>
            </w:r>
            <w:r>
              <w:rPr>
                <w:rStyle w:val="21"/>
                <w:rFonts w:hint="default"/>
                <w:color w:val="auto"/>
                <w:sz w:val="24"/>
                <w:szCs w:val="24"/>
                <w:highlight w:val="none"/>
              </w:rPr>
              <w:t>离析，软化点差，℃                  ≤2.5                   T0661</w:t>
            </w:r>
            <w:r>
              <w:rPr>
                <w:rStyle w:val="21"/>
                <w:rFonts w:hint="default"/>
                <w:color w:val="auto"/>
                <w:sz w:val="24"/>
                <w:szCs w:val="24"/>
                <w:highlight w:val="none"/>
              </w:rPr>
              <w:br w:type="textWrapping"/>
            </w:r>
            <w:r>
              <w:rPr>
                <w:rStyle w:val="21"/>
                <w:rFonts w:hint="default"/>
                <w:color w:val="auto"/>
                <w:sz w:val="24"/>
                <w:szCs w:val="24"/>
                <w:highlight w:val="none"/>
              </w:rPr>
              <w:t>RTFOT后残余物 质量损失，%          ≤±1.0                  T0610</w:t>
            </w:r>
            <w:r>
              <w:rPr>
                <w:rStyle w:val="21"/>
                <w:rFonts w:hint="default"/>
                <w:color w:val="auto"/>
                <w:sz w:val="24"/>
                <w:szCs w:val="24"/>
                <w:highlight w:val="none"/>
              </w:rPr>
              <w:br w:type="textWrapping"/>
            </w:r>
            <w:r>
              <w:rPr>
                <w:rStyle w:val="21"/>
                <w:rFonts w:hint="default"/>
                <w:color w:val="auto"/>
                <w:sz w:val="24"/>
                <w:szCs w:val="24"/>
                <w:highlight w:val="none"/>
              </w:rPr>
              <w:t xml:space="preserve"> 针入度比(25℃)，%                  ≥60                    T0604</w:t>
            </w:r>
            <w:r>
              <w:rPr>
                <w:rStyle w:val="21"/>
                <w:rFonts w:hint="default"/>
                <w:color w:val="auto"/>
                <w:sz w:val="24"/>
                <w:szCs w:val="24"/>
                <w:highlight w:val="none"/>
              </w:rPr>
              <w:br w:type="textWrapping"/>
            </w:r>
            <w:r>
              <w:rPr>
                <w:rStyle w:val="21"/>
                <w:rFonts w:hint="default"/>
                <w:color w:val="auto"/>
                <w:sz w:val="24"/>
                <w:szCs w:val="24"/>
                <w:highlight w:val="none"/>
              </w:rPr>
              <w:t xml:space="preserve"> 延度(5℃)，cm                      ≥20                    T0605</w:t>
            </w:r>
            <w:r>
              <w:rPr>
                <w:rStyle w:val="21"/>
                <w:rFonts w:hint="default"/>
                <w:color w:val="auto"/>
                <w:sz w:val="24"/>
                <w:szCs w:val="24"/>
                <w:highlight w:val="none"/>
              </w:rPr>
              <w:br w:type="textWrapping"/>
            </w:r>
            <w:r>
              <w:rPr>
                <w:rStyle w:val="21"/>
                <w:rFonts w:hint="default"/>
                <w:color w:val="auto"/>
                <w:sz w:val="24"/>
                <w:szCs w:val="24"/>
                <w:highlight w:val="none"/>
              </w:rPr>
              <w:t>2、集料：</w:t>
            </w:r>
            <w:r>
              <w:rPr>
                <w:rStyle w:val="21"/>
                <w:rFonts w:hint="default"/>
                <w:color w:val="auto"/>
                <w:sz w:val="24"/>
                <w:szCs w:val="24"/>
                <w:highlight w:val="none"/>
              </w:rPr>
              <w:br w:type="textWrapping"/>
            </w:r>
            <w:r>
              <w:rPr>
                <w:rFonts w:hint="default"/>
                <w:color w:val="auto"/>
                <w:sz w:val="24"/>
                <w:szCs w:val="24"/>
                <w:highlight w:val="none"/>
              </w:rPr>
              <w:t>主干路、快速路：</w:t>
            </w:r>
            <w:r>
              <w:rPr>
                <w:rStyle w:val="21"/>
                <w:rFonts w:hint="default"/>
                <w:color w:val="auto"/>
                <w:sz w:val="24"/>
                <w:szCs w:val="24"/>
                <w:highlight w:val="none"/>
              </w:rPr>
              <w:br w:type="textWrapping"/>
            </w:r>
            <w:r>
              <w:rPr>
                <w:rStyle w:val="21"/>
                <w:rFonts w:hint="default"/>
                <w:color w:val="auto"/>
                <w:sz w:val="24"/>
                <w:szCs w:val="24"/>
                <w:highlight w:val="none"/>
              </w:rPr>
              <w:t>①粗集料：应选择与沥青粘附性&gt;4级、压碎值&lt;26％（主干路）/25%（快速路）、磨光值≥40，冲击值&lt;42BPN、针片状含量&lt;15％的洁净、均匀石料。</w:t>
            </w:r>
            <w:r>
              <w:rPr>
                <w:rStyle w:val="21"/>
                <w:rFonts w:hint="default"/>
                <w:color w:val="auto"/>
                <w:sz w:val="24"/>
                <w:szCs w:val="24"/>
                <w:highlight w:val="none"/>
              </w:rPr>
              <w:br w:type="textWrapping"/>
            </w:r>
            <w:r>
              <w:rPr>
                <w:rStyle w:val="21"/>
                <w:rFonts w:hint="default"/>
                <w:color w:val="auto"/>
                <w:sz w:val="24"/>
                <w:szCs w:val="24"/>
                <w:highlight w:val="none"/>
              </w:rPr>
              <w:t>②细集料：可选用机制砂、天然砂、石屑配制。具有一定的棱角性，洁净、干燥、无风化、无杂质。</w:t>
            </w:r>
            <w:r>
              <w:rPr>
                <w:rStyle w:val="21"/>
                <w:rFonts w:hint="default"/>
                <w:color w:val="auto"/>
                <w:sz w:val="24"/>
                <w:szCs w:val="24"/>
                <w:highlight w:val="none"/>
              </w:rPr>
              <w:br w:type="textWrapping"/>
            </w:r>
            <w:r>
              <w:rPr>
                <w:rStyle w:val="21"/>
                <w:rFonts w:hint="default"/>
                <w:color w:val="auto"/>
                <w:sz w:val="24"/>
                <w:szCs w:val="24"/>
                <w:highlight w:val="none"/>
              </w:rPr>
              <w:t>③填料：必须采用石灰石等碱性石料磨细的石粉。矿粉应干燥、洁净、不成块。</w:t>
            </w:r>
            <w:r>
              <w:rPr>
                <w:rStyle w:val="21"/>
                <w:rFonts w:hint="default"/>
                <w:color w:val="auto"/>
                <w:sz w:val="24"/>
                <w:szCs w:val="24"/>
                <w:highlight w:val="none"/>
              </w:rPr>
              <w:br w:type="textWrapping"/>
            </w:r>
            <w:r>
              <w:rPr>
                <w:rFonts w:hint="default"/>
                <w:color w:val="auto"/>
                <w:sz w:val="24"/>
                <w:szCs w:val="24"/>
                <w:highlight w:val="none"/>
              </w:rPr>
              <w:t>次干路：</w:t>
            </w:r>
            <w:r>
              <w:rPr>
                <w:rStyle w:val="21"/>
                <w:rFonts w:hint="default"/>
                <w:color w:val="auto"/>
                <w:sz w:val="24"/>
                <w:szCs w:val="24"/>
                <w:highlight w:val="none"/>
              </w:rPr>
              <w:t>①粗集料：应选择与沥青粘附性&gt; 4级、压碎值 &lt;28％、冲击值&lt; 42 BPN、磨光值≥38、针片状含量 &lt; 18％的洁净、均匀石料。②细集料：应选择洁净、干燥、无风化、无杂质，并具有适当颗粒级配。</w:t>
            </w:r>
            <w:r>
              <w:rPr>
                <w:rStyle w:val="21"/>
                <w:rFonts w:hint="default"/>
                <w:color w:val="auto"/>
                <w:sz w:val="24"/>
                <w:szCs w:val="24"/>
                <w:highlight w:val="none"/>
              </w:rPr>
              <w:br w:type="textWrapping"/>
            </w:r>
            <w:r>
              <w:rPr>
                <w:rStyle w:val="21"/>
                <w:rFonts w:hint="default"/>
                <w:color w:val="auto"/>
                <w:sz w:val="24"/>
                <w:szCs w:val="24"/>
                <w:highlight w:val="none"/>
              </w:rPr>
              <w:t>③填料：必须采用石灰岩经磨细得到的矿粉，原石料中的泥土杂质应除净。</w:t>
            </w:r>
            <w:r>
              <w:rPr>
                <w:rStyle w:val="21"/>
                <w:rFonts w:hint="default"/>
                <w:color w:val="auto"/>
                <w:sz w:val="24"/>
                <w:szCs w:val="24"/>
                <w:highlight w:val="none"/>
              </w:rPr>
              <w:br w:type="textWrapping"/>
            </w:r>
            <w:r>
              <w:rPr>
                <w:rStyle w:val="21"/>
                <w:rFonts w:hint="default"/>
                <w:color w:val="auto"/>
                <w:sz w:val="24"/>
                <w:szCs w:val="24"/>
                <w:highlight w:val="none"/>
              </w:rPr>
              <w:t>（3）路用性能技术要求：低温弯曲试验破坏应变≥2500（με）；动稳定度≥3200（次/mm）；浸水马歇尔残留稳定度≥85%，冻融劈裂试验残留强度比≥80%</w:t>
            </w:r>
          </w:p>
        </w:tc>
      </w:tr>
      <w:tr w14:paraId="6CE497B2">
        <w:tblPrEx>
          <w:tblCellMar>
            <w:top w:w="0" w:type="dxa"/>
            <w:left w:w="0" w:type="dxa"/>
            <w:bottom w:w="0" w:type="dxa"/>
            <w:right w:w="0" w:type="dxa"/>
          </w:tblCellMar>
        </w:tblPrEx>
        <w:trPr>
          <w:trHeight w:val="4866"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9418D">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1E7991">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86E714">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3</w:t>
            </w:r>
          </w:p>
        </w:tc>
        <w:tc>
          <w:tcPr>
            <w:tcW w:w="157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894C2">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中粒式沥青混凝土</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（AC-20）</w:t>
            </w:r>
          </w:p>
        </w:tc>
        <w:tc>
          <w:tcPr>
            <w:tcW w:w="13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00D9F">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快速路机动车道中面层，主干路、次干路、辅道、支路机动车道和非机动车道下面层</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6FA19">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1、沥青混合料设计空隙率3-5%；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级配类型：通过下列筛孔(方孔筛,mm)的质量百分比(%)</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粒径：  26.5    19      16   13.2     9.5   4.75    2.36   1.18    0.6    0.3   0.15   0.075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AC-20： 100   90-100  78-92  62-80   50-72  26-56  10-44  12-33    8-24   5-17  4-13   3-7</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2、集料：</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主干路、快速路：</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①粗集料：应选择与沥青粘附性&gt;4级、压碎值&lt;26％（主干路）/25%（快速路）、磨光值≥40，冲击值&lt;42BPN、针片状含量&lt;15％的洁净、均匀石料。</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②细集料：可选用机制砂、天然砂、石屑配制。具有一定的棱角性，洁净、干燥、无风化、无杂质。</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③填料：必须采用石灰石等碱性石料磨细的石粉。矿粉应干燥、洁净、不成块。</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其他：</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①粗集料：应选择与沥青粘附性&gt; 4级、压碎值 &lt;28％、冲击值&lt; 42 BPN、磨光值≥38、针片状含量 &lt; 18％的洁净、均匀石料。</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②细集料：应选择洁净、干燥、无风化、无杂质，并具有适当颗粒级配。</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③填料：必须采用石灰岩经磨细得到的矿粉，原石料中的泥土杂质应除净。</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3、路用性能技术要求：低温弯曲试验破坏应变≥2000（με）；动稳定度≥1000（次/mm）；浸水马歇尔残留稳定度≥80%，冻融劈裂试验残留强度比≥75%</w:t>
            </w:r>
          </w:p>
        </w:tc>
      </w:tr>
      <w:tr w14:paraId="68D8B68E">
        <w:tblPrEx>
          <w:tblCellMar>
            <w:top w:w="0" w:type="dxa"/>
            <w:left w:w="0" w:type="dxa"/>
            <w:bottom w:w="0" w:type="dxa"/>
            <w:right w:w="0" w:type="dxa"/>
          </w:tblCellMar>
        </w:tblPrEx>
        <w:trPr>
          <w:trHeight w:val="3441"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EF97AC">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EFB18">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68C31">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4</w:t>
            </w:r>
          </w:p>
        </w:tc>
        <w:tc>
          <w:tcPr>
            <w:tcW w:w="1576" w:type="dxa"/>
            <w:gridSpan w:val="2"/>
            <w:tcBorders>
              <w:top w:val="nil"/>
              <w:left w:val="nil"/>
              <w:bottom w:val="nil"/>
              <w:right w:val="nil"/>
            </w:tcBorders>
            <w:noWrap w:val="0"/>
            <w:tcMar>
              <w:top w:w="15" w:type="dxa"/>
              <w:left w:w="15" w:type="dxa"/>
              <w:right w:w="15" w:type="dxa"/>
            </w:tcMar>
            <w:vAlign w:val="center"/>
          </w:tcPr>
          <w:p w14:paraId="79B867EC">
            <w:pPr>
              <w:widowControl/>
              <w:jc w:val="left"/>
              <w:textAlignment w:val="center"/>
              <w:rPr>
                <w:rFonts w:hint="eastAsia" w:ascii="宋体" w:hAnsi="宋体" w:cs="宋体"/>
                <w:sz w:val="22"/>
                <w:highlight w:val="none"/>
              </w:rPr>
            </w:pPr>
            <w:r>
              <w:rPr>
                <w:rStyle w:val="19"/>
                <w:rFonts w:hint="default"/>
                <w:color w:val="auto"/>
                <w:sz w:val="22"/>
                <w:szCs w:val="22"/>
                <w:highlight w:val="none"/>
              </w:rPr>
              <w:t>粗粒式沥青混凝土</w:t>
            </w:r>
            <w:r>
              <w:rPr>
                <w:rStyle w:val="19"/>
                <w:rFonts w:hint="default"/>
                <w:color w:val="auto"/>
                <w:sz w:val="22"/>
                <w:szCs w:val="22"/>
                <w:highlight w:val="none"/>
              </w:rPr>
              <w:br w:type="textWrapping"/>
            </w:r>
            <w:r>
              <w:rPr>
                <w:rStyle w:val="20"/>
                <w:rFonts w:hint="eastAsia" w:ascii="宋体" w:hAnsi="宋体" w:cs="宋体"/>
                <w:color w:val="auto"/>
                <w:sz w:val="22"/>
                <w:szCs w:val="22"/>
                <w:highlight w:val="none"/>
              </w:rPr>
              <w:t>(AC-25)</w:t>
            </w:r>
          </w:p>
        </w:tc>
        <w:tc>
          <w:tcPr>
            <w:tcW w:w="13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1B72E">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快速路机动车</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道下面层</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68D80">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1、沥青混合料设计空隙率3-5%；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级配类型：通过下列筛孔(方孔筛,mm)的质量百分比(%)</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粒径：  26.5    19    16   13.2    9.5   4.75   2.36   1.18  0.6    0.3   0.15  0.075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AC-25：90-100 75-90 65-83  57-76  45-65  24-52 16-42  12-33  8-24  5-17   4+13   3-7</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2、集料</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①粗集料：应选择与沥青粘附性&gt; 4级、压碎值 &lt;25％、冲击值&lt; 42 BPN、磨光值≥40、针片状含量 &lt; 15％的洁净、均匀石料。</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②细集料：应选择洁净、干燥、无风化、无杂质，并具有适当颗粒级配。</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3、填料</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必须采用石灰岩经磨细得到的矿粉，原石料中的泥土杂质应除净。</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4、路用性能技术要求：低温弯曲试验破坏应变≥2000（με）；动稳定度≥1000（次/mm）；浸水马歇尔残留稳定度≥80%，冻融劈裂试验残留强度比≥75%</w:t>
            </w:r>
          </w:p>
        </w:tc>
      </w:tr>
      <w:tr w14:paraId="6A8BCE56">
        <w:tblPrEx>
          <w:tblCellMar>
            <w:top w:w="0" w:type="dxa"/>
            <w:left w:w="0" w:type="dxa"/>
            <w:bottom w:w="0" w:type="dxa"/>
            <w:right w:w="0"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6A43A">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F93CB">
            <w:pPr>
              <w:jc w:val="center"/>
              <w:rPr>
                <w:rFonts w:hint="eastAsia" w:ascii="宋体" w:hAnsi="宋体" w:cs="宋体"/>
                <w:sz w:val="24"/>
                <w:szCs w:val="24"/>
                <w:highlight w:val="none"/>
              </w:rPr>
            </w:pPr>
          </w:p>
        </w:tc>
        <w:tc>
          <w:tcPr>
            <w:tcW w:w="372"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A82F01">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5</w:t>
            </w:r>
          </w:p>
        </w:tc>
        <w:tc>
          <w:tcPr>
            <w:tcW w:w="1576"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EB697">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高模量沥青混凝土(EM-16)</w:t>
            </w:r>
          </w:p>
        </w:tc>
        <w:tc>
          <w:tcPr>
            <w:tcW w:w="13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55A4C">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主干路或次干</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路机动车道的下面层</w:t>
            </w:r>
          </w:p>
        </w:tc>
        <w:tc>
          <w:tcPr>
            <w:tcW w:w="896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CB49147">
            <w:pPr>
              <w:widowControl/>
              <w:jc w:val="left"/>
              <w:textAlignment w:val="top"/>
              <w:rPr>
                <w:rFonts w:hint="eastAsia" w:ascii="宋体" w:hAnsi="宋体" w:cs="宋体"/>
                <w:sz w:val="24"/>
                <w:szCs w:val="24"/>
                <w:highlight w:val="none"/>
              </w:rPr>
            </w:pPr>
            <w:r>
              <w:rPr>
                <w:rFonts w:hint="eastAsia" w:ascii="宋体" w:hAnsi="宋体" w:cs="宋体"/>
                <w:kern w:val="0"/>
                <w:sz w:val="24"/>
                <w:szCs w:val="24"/>
                <w:highlight w:val="none"/>
              </w:rPr>
              <w:t>（1）沥青混凝土的级配范围（设计空隙率≤4%）</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级配类型：通过下列筛孔(方孔筛,mm)的质量百分比(%)</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 粒径： 26.5 19 16     13.2    9.5  4.75   2.36   1.18  0.6  0.3  0.15  0.075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EME-16：--  100 90-100  --   66-84  42-64  27-42   --    --   --   --   5.5-8.0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（2）高模量沥青的技术要求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针入度(25℃、5s、100g) 0.1mm 20～30、软化点 ℃ ≥60、延度(25℃、5cm/min) cm ≥30、闪点 ℃ ≥230、密度（25℃） （g/cm3） 实测</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弹性恢复(25℃) % ≥58、表观粘度(175℃) Pa•s ≤3、无机物粒径 Dav μm ≤5、D90 μm ≤12、贮存稳定性离析，48h软化点差 ℃ ≤2.5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TFOT或RTFOT后质量变化 % ≤±0.5、残留针入度比(25℃) % ≥65、残留延度(25℃、5cm/min) cm ≥10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（3）道路用高模量抗疲劳沥青混合料性能要求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冻融劈裂抗拉强度比/% ≥80、动稳定度/（次/mm）≥4000、动态模量a/Mpa ≥4000、疲劳寿命b/次 ≥106、低温弯曲试验破坏应变c/με ≥2000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a.在45℃±0.5℃温度、10Hz±0.1 Hz频率条件下。</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b.在15℃±0.5℃温度、10Hz±0.1 Hz频率、230με控制应变条件下。</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c.在-10℃±0.5℃温度条件下。</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（4）沥青混合料用细集料规格（水洗法通过各筛孔的质量百分数（%））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规格：公称粒径（mm）  9.5   4.75    2.36   1.18     0.6    0.3   0.15  0.075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S15：    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5         100   90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100  60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90   40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75   20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55  7</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40   2</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20   0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10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S16：    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3          --    100    80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100  50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80   25</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60  8</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45   0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25   0</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15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（5）集料：</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①粗集料：应选择与沥青粘附性&gt;4级、压碎值&lt;28％、冲击值&lt;42 BPN、针片状含量&lt;18％的洁净、均匀石料。</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（6）沥青混合料用粗集料质量技术要求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   指标           单位 城市快速路、主干路其他层次 其他等级道路</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石料压碎值：≤      %        28                      30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洛杉矶磨耗损失≤    %        30                      35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表观相对密度 ≥    --       2.5                     2.45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吸水率≤            %       3.0                      3.0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坚固性≤            %        12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针片状颗粒含量（混合料）≤% 18                       20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其中粒径大于9.5mm≤ %       15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其中粒径小于9.5mm≤ %       20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水洗法&lt;0.075mm颗粒含量≤%    1                        1</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软石含量≤          %        5                        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②细集料：应选择满足级配要求的机制砂和石屑，洁净、干燥、无风化、无杂质，并具有适当颗粒级配。</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细集料质量要求：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   项目             单位       城市快速路、主干路      其他等级道路</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表现相对密度         --            ≥2.50                ≥2.45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坚固性（&gt;0.3mm部分） %             ≥12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砂当量               %             ≥60                  ≥50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亚甲蓝值            g/kg           ≤25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棱角性（流动时间）   s             ≥30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（5）填料：必须采用石灰岩经磨细得到的矿粉，原石料中的泥土杂质应除净。禁止使用回收粉和粉煤灰。</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（6）施工温度要求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高模量沥青混合料施工时，摊铺温度≥160℃，终压温度≥110℃，开放交通时的路表温度≤50℃。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（7）上述高模量沥青适用于高新区市政道路沥青混凝土路面下面层。其余未涉及内容、指标等同原设计并应满足相关标准、规范等要求。</w:t>
            </w:r>
          </w:p>
        </w:tc>
      </w:tr>
      <w:tr w14:paraId="4A3292CA">
        <w:tblPrEx>
          <w:tblCellMar>
            <w:top w:w="0" w:type="dxa"/>
            <w:left w:w="0" w:type="dxa"/>
            <w:bottom w:w="0" w:type="dxa"/>
            <w:right w:w="0"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981C32">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06A04">
            <w:pPr>
              <w:jc w:val="center"/>
              <w:rPr>
                <w:rFonts w:hint="eastAsia" w:ascii="宋体" w:hAnsi="宋体" w:cs="宋体"/>
                <w:sz w:val="24"/>
                <w:szCs w:val="24"/>
                <w:highlight w:val="none"/>
              </w:rPr>
            </w:pPr>
          </w:p>
        </w:tc>
        <w:tc>
          <w:tcPr>
            <w:tcW w:w="372"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640BAF">
            <w:pPr>
              <w:jc w:val="center"/>
              <w:rPr>
                <w:rFonts w:hint="eastAsia" w:ascii="宋体" w:hAnsi="宋体" w:cs="宋体"/>
                <w:sz w:val="24"/>
                <w:szCs w:val="24"/>
                <w:highlight w:val="none"/>
              </w:rPr>
            </w:pPr>
          </w:p>
        </w:tc>
        <w:tc>
          <w:tcPr>
            <w:tcW w:w="157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900DF">
            <w:pPr>
              <w:jc w:val="center"/>
              <w:rPr>
                <w:rFonts w:hint="eastAsia" w:ascii="宋体" w:hAnsi="宋体" w:cs="宋体"/>
                <w:sz w:val="24"/>
                <w:szCs w:val="24"/>
                <w:highlight w:val="none"/>
              </w:rPr>
            </w:pPr>
          </w:p>
        </w:tc>
        <w:tc>
          <w:tcPr>
            <w:tcW w:w="13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A8E38">
            <w:pPr>
              <w:jc w:val="center"/>
              <w:rPr>
                <w:rFonts w:hint="eastAsia" w:ascii="宋体" w:hAnsi="宋体" w:cs="宋体"/>
                <w:sz w:val="24"/>
                <w:szCs w:val="24"/>
                <w:highlight w:val="none"/>
              </w:rPr>
            </w:pPr>
          </w:p>
        </w:tc>
        <w:tc>
          <w:tcPr>
            <w:tcW w:w="89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02D61D1">
            <w:pPr>
              <w:jc w:val="left"/>
              <w:rPr>
                <w:rFonts w:hint="eastAsia" w:ascii="宋体" w:hAnsi="宋体" w:cs="宋体"/>
                <w:sz w:val="24"/>
                <w:szCs w:val="24"/>
                <w:highlight w:val="none"/>
              </w:rPr>
            </w:pPr>
          </w:p>
        </w:tc>
      </w:tr>
      <w:tr w14:paraId="40ACD084">
        <w:tblPrEx>
          <w:tblCellMar>
            <w:top w:w="0" w:type="dxa"/>
            <w:left w:w="0" w:type="dxa"/>
            <w:bottom w:w="0" w:type="dxa"/>
            <w:right w:w="0"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A0DD6F">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513E58">
            <w:pPr>
              <w:jc w:val="center"/>
              <w:rPr>
                <w:rFonts w:hint="eastAsia" w:ascii="宋体" w:hAnsi="宋体" w:cs="宋体"/>
                <w:sz w:val="24"/>
                <w:szCs w:val="24"/>
                <w:highlight w:val="none"/>
              </w:rPr>
            </w:pPr>
          </w:p>
        </w:tc>
        <w:tc>
          <w:tcPr>
            <w:tcW w:w="372"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F1050">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6</w:t>
            </w:r>
          </w:p>
        </w:tc>
        <w:tc>
          <w:tcPr>
            <w:tcW w:w="1576"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6AD9A">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透水混凝土（红色）</w:t>
            </w:r>
          </w:p>
        </w:tc>
        <w:tc>
          <w:tcPr>
            <w:tcW w:w="13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E7B17">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非机动车道</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上面层</w:t>
            </w:r>
          </w:p>
        </w:tc>
        <w:tc>
          <w:tcPr>
            <w:tcW w:w="896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5AAFF">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（1）水泥应采用强度等级不低于42.5级的硅酸盐水泥，质量应符合现行国家标准《通用硅酸盐水泥》GB 175-2007的要求。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（2）外加剂应符合现行国家标准《混凝土外加剂》GB 8076-2008的规定。</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（3）增强料技术指标</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聚合物乳液：  含固量（%）    延伸率（%）   极限拉伸强度（MPa）</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               40～50         ≥150            ≥1.0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活性 SiO2：               SiO2 含量应大于85%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 （4）透水水泥混凝土采用的集料，必须使用质地坚硬、耐久、洁净、密实的碎石料，4厘米红色透水混凝土上面层为4-6mm色彩均匀一致的单一粒径天然红色碎石料；8厘米素色透水混凝土下面层粒径为10-20mm单一粒径碎石料；碎石的性能指标应符合现行国家标准《建筑用卵石、碎石》GB/T 14685-2011中的二级要求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                     集料的性能指标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项 目                     计量单位                指标</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尺寸                         mm      2.4～4.75   4.75～9.5    9.5～13.2</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压碎值                       %                    ＜15.0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针片状颗粒含量（按质量计）   %                    ＜15.0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含泥量（按质量计）           %                    ＜1.0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表观密度                   kg/m3                  ﹥2500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紧密堆积密度               kg/m3                  ﹥1350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堆积孔隙率                   %                    ＜47.0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（5）透水水泥混凝土拌合用水应符合现行行业标准《混凝土用水标准》JGJ 63-2006的规定。</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（6）透水水泥混凝土的性能</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项目                                计量单位                        性能要求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耐磨性（磨坑长度）                     mm                            ≤35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透水系数（15℃）                       mm/s                         1.8～5.5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抗冻性 50次冻融循环后抗压强度损失率     %                            ≤25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 50次冻融循环后质量损失率               %                            ≤5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连续孔隙率                              %                            ≥10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强度等级                                -                             C30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（7）透水基层级配碎石集料压碎值应小于等于26%，且塑性指数应小于6，空隙率应大于10%,压实度大于等于96%（重型击实试验法）</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通过下列筛孔（mm）的质量百分率（%）</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筛孔尺寸： 37.5     31.5     19.0    9.5      4.75    1.18    0.6    0.075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通过率：   100    90～100   73～88  49～69   29～54  17～37  8～20   0～7</w:t>
            </w:r>
          </w:p>
        </w:tc>
      </w:tr>
      <w:tr w14:paraId="5666C17D">
        <w:tblPrEx>
          <w:tblCellMar>
            <w:top w:w="0" w:type="dxa"/>
            <w:left w:w="0" w:type="dxa"/>
            <w:bottom w:w="0" w:type="dxa"/>
            <w:right w:w="0" w:type="dxa"/>
          </w:tblCellMar>
        </w:tblPrEx>
        <w:trPr>
          <w:trHeight w:val="3432"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982D2C">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000BE0">
            <w:pPr>
              <w:jc w:val="center"/>
              <w:rPr>
                <w:rFonts w:hint="eastAsia" w:ascii="宋体" w:hAnsi="宋体" w:cs="宋体"/>
                <w:sz w:val="24"/>
                <w:szCs w:val="24"/>
                <w:highlight w:val="none"/>
              </w:rPr>
            </w:pPr>
          </w:p>
        </w:tc>
        <w:tc>
          <w:tcPr>
            <w:tcW w:w="372"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0DFBC">
            <w:pPr>
              <w:jc w:val="center"/>
              <w:rPr>
                <w:rFonts w:hint="eastAsia" w:ascii="宋体" w:hAnsi="宋体" w:cs="宋体"/>
                <w:sz w:val="24"/>
                <w:szCs w:val="24"/>
                <w:highlight w:val="none"/>
              </w:rPr>
            </w:pPr>
          </w:p>
        </w:tc>
        <w:tc>
          <w:tcPr>
            <w:tcW w:w="157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3DF11">
            <w:pPr>
              <w:jc w:val="left"/>
              <w:rPr>
                <w:rFonts w:hint="eastAsia" w:ascii="宋体" w:hAnsi="宋体" w:cs="宋体"/>
                <w:sz w:val="24"/>
                <w:szCs w:val="24"/>
                <w:highlight w:val="none"/>
              </w:rPr>
            </w:pPr>
          </w:p>
        </w:tc>
        <w:tc>
          <w:tcPr>
            <w:tcW w:w="13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036E5">
            <w:pPr>
              <w:jc w:val="center"/>
              <w:rPr>
                <w:rFonts w:hint="eastAsia" w:ascii="宋体" w:hAnsi="宋体" w:cs="宋体"/>
                <w:sz w:val="24"/>
                <w:szCs w:val="24"/>
                <w:highlight w:val="none"/>
              </w:rPr>
            </w:pPr>
          </w:p>
        </w:tc>
        <w:tc>
          <w:tcPr>
            <w:tcW w:w="89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77E7C">
            <w:pPr>
              <w:jc w:val="left"/>
              <w:rPr>
                <w:rFonts w:hint="eastAsia" w:ascii="宋体" w:hAnsi="宋体" w:cs="宋体"/>
                <w:sz w:val="24"/>
                <w:szCs w:val="24"/>
                <w:highlight w:val="none"/>
              </w:rPr>
            </w:pPr>
          </w:p>
        </w:tc>
      </w:tr>
      <w:tr w14:paraId="7879D7C9">
        <w:tblPrEx>
          <w:tblCellMar>
            <w:top w:w="0" w:type="dxa"/>
            <w:left w:w="0" w:type="dxa"/>
            <w:bottom w:w="0" w:type="dxa"/>
            <w:right w:w="0" w:type="dxa"/>
          </w:tblCellMar>
        </w:tblPrEx>
        <w:trPr>
          <w:trHeight w:val="2303"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E97555">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1CD911">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B2CBD">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7</w:t>
            </w:r>
          </w:p>
        </w:tc>
        <w:tc>
          <w:tcPr>
            <w:tcW w:w="157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1B17D3">
            <w:pPr>
              <w:widowControl/>
              <w:jc w:val="left"/>
              <w:textAlignment w:val="center"/>
              <w:rPr>
                <w:rFonts w:hint="eastAsia" w:ascii="宋体" w:hAnsi="宋体" w:cs="宋体"/>
                <w:sz w:val="22"/>
                <w:highlight w:val="none"/>
              </w:rPr>
            </w:pPr>
            <w:r>
              <w:rPr>
                <w:rStyle w:val="20"/>
                <w:rFonts w:hint="eastAsia" w:ascii="宋体" w:hAnsi="宋体" w:cs="宋体"/>
                <w:color w:val="auto"/>
                <w:sz w:val="22"/>
                <w:szCs w:val="22"/>
                <w:highlight w:val="none"/>
              </w:rPr>
              <w:t>C30</w:t>
            </w:r>
            <w:r>
              <w:rPr>
                <w:rStyle w:val="19"/>
                <w:rFonts w:hint="default"/>
                <w:color w:val="auto"/>
                <w:sz w:val="22"/>
                <w:szCs w:val="22"/>
                <w:highlight w:val="none"/>
              </w:rPr>
              <w:t>水泥混凝土路面</w:t>
            </w:r>
          </w:p>
        </w:tc>
        <w:tc>
          <w:tcPr>
            <w:tcW w:w="130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FDD4567">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机耕路、部分</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临时路面层</w:t>
            </w:r>
          </w:p>
        </w:tc>
        <w:tc>
          <w:tcPr>
            <w:tcW w:w="896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98FD875">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（1）C30水泥混凝土抗压强度≥30MPa,弯拉强度≥4.5MPa；</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（2）水泥宜采用32.5号普通硅酸盐水泥；水泥的物理性能及化学成份应符合现行的国家标准的规定，水泥用量不小于325kg/m3。</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（3）粗集料碎石不得使用不分级的材料，应按最大公称粒径的不同采用2～4个粒级的集料进行掺配，合成级配最大公称粒径不应大于31.5mm。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（4）细集料采用天然砂、机制砂或混合砂，要求质地坚硬、耐久、洁净，并具有良好的级配，细度模数不宜小于2.5。硅质砂或石英砂的含量不低于25%</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（5）拌和用水不得含有影响混凝土质量的油、碱、酸、盐类等，满足规范要求的拌合用水均可采用。</w:t>
            </w:r>
          </w:p>
        </w:tc>
      </w:tr>
      <w:tr w14:paraId="1E3A51BD">
        <w:tblPrEx>
          <w:tblCellMar>
            <w:top w:w="0" w:type="dxa"/>
            <w:left w:w="0" w:type="dxa"/>
            <w:bottom w:w="0" w:type="dxa"/>
            <w:right w:w="0" w:type="dxa"/>
          </w:tblCellMar>
        </w:tblPrEx>
        <w:trPr>
          <w:trHeight w:val="310"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DD26DC">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731C07">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58D41855">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8</w:t>
            </w:r>
          </w:p>
        </w:tc>
        <w:tc>
          <w:tcPr>
            <w:tcW w:w="157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59F6CF">
            <w:pPr>
              <w:widowControl/>
              <w:jc w:val="left"/>
              <w:textAlignment w:val="center"/>
              <w:rPr>
                <w:rFonts w:hint="eastAsia" w:ascii="宋体" w:hAnsi="宋体" w:cs="宋体"/>
                <w:sz w:val="22"/>
                <w:highlight w:val="none"/>
              </w:rPr>
            </w:pPr>
            <w:r>
              <w:rPr>
                <w:rFonts w:hint="eastAsia" w:ascii="宋体" w:hAnsi="宋体" w:cs="宋体"/>
                <w:kern w:val="0"/>
                <w:sz w:val="22"/>
                <w:highlight w:val="none"/>
              </w:rPr>
              <w:t>陶砖</w:t>
            </w:r>
          </w:p>
        </w:tc>
        <w:tc>
          <w:tcPr>
            <w:tcW w:w="130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D5B239">
            <w:pPr>
              <w:widowControl/>
              <w:jc w:val="center"/>
              <w:textAlignment w:val="center"/>
              <w:rPr>
                <w:rFonts w:hint="eastAsia" w:ascii="宋体" w:hAnsi="宋体" w:cs="宋体"/>
                <w:sz w:val="22"/>
                <w:highlight w:val="none"/>
              </w:rPr>
            </w:pPr>
            <w:r>
              <w:rPr>
                <w:rFonts w:hint="eastAsia" w:ascii="宋体" w:hAnsi="宋体" w:cs="宋体"/>
                <w:kern w:val="0"/>
                <w:sz w:val="22"/>
                <w:highlight w:val="none"/>
              </w:rPr>
              <w:t>人行道面层</w:t>
            </w:r>
          </w:p>
        </w:tc>
        <w:tc>
          <w:tcPr>
            <w:tcW w:w="89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677BEC">
            <w:pPr>
              <w:widowControl/>
              <w:jc w:val="left"/>
              <w:textAlignment w:val="center"/>
              <w:rPr>
                <w:rFonts w:hint="eastAsia" w:ascii="宋体" w:hAnsi="宋体" w:cs="宋体"/>
                <w:sz w:val="22"/>
                <w:highlight w:val="none"/>
              </w:rPr>
            </w:pPr>
            <w:r>
              <w:rPr>
                <w:rStyle w:val="22"/>
                <w:rFonts w:hint="default"/>
                <w:color w:val="auto"/>
                <w:sz w:val="22"/>
                <w:szCs w:val="22"/>
                <w:highlight w:val="none"/>
              </w:rPr>
              <w:t>陶砖抗压强度≥</w:t>
            </w:r>
            <w:r>
              <w:rPr>
                <w:rStyle w:val="23"/>
                <w:rFonts w:hint="eastAsia" w:ascii="宋体" w:hAnsi="宋体" w:eastAsia="宋体" w:cs="宋体"/>
                <w:color w:val="auto"/>
                <w:sz w:val="28"/>
                <w:szCs w:val="28"/>
                <w:highlight w:val="none"/>
              </w:rPr>
              <w:t>30Mpa</w:t>
            </w:r>
            <w:r>
              <w:rPr>
                <w:rStyle w:val="22"/>
                <w:rFonts w:hint="default"/>
                <w:color w:val="auto"/>
                <w:sz w:val="22"/>
                <w:szCs w:val="22"/>
                <w:highlight w:val="none"/>
              </w:rPr>
              <w:t>，磨坑长度≤</w:t>
            </w:r>
            <w:r>
              <w:rPr>
                <w:rStyle w:val="23"/>
                <w:rFonts w:hint="eastAsia" w:ascii="宋体" w:hAnsi="宋体" w:eastAsia="宋体" w:cs="宋体"/>
                <w:color w:val="auto"/>
                <w:sz w:val="28"/>
                <w:szCs w:val="28"/>
                <w:highlight w:val="none"/>
              </w:rPr>
              <w:t>35mm</w:t>
            </w:r>
            <w:r>
              <w:rPr>
                <w:rStyle w:val="22"/>
                <w:rFonts w:hint="default"/>
                <w:color w:val="auto"/>
                <w:sz w:val="22"/>
                <w:szCs w:val="22"/>
                <w:highlight w:val="none"/>
              </w:rPr>
              <w:t>，防滑性≥</w:t>
            </w:r>
            <w:r>
              <w:rPr>
                <w:rStyle w:val="23"/>
                <w:rFonts w:hint="eastAsia" w:ascii="宋体" w:hAnsi="宋体" w:eastAsia="宋体" w:cs="宋体"/>
                <w:color w:val="auto"/>
                <w:sz w:val="28"/>
                <w:szCs w:val="28"/>
                <w:highlight w:val="none"/>
              </w:rPr>
              <w:t>60BPN</w:t>
            </w:r>
            <w:r>
              <w:rPr>
                <w:rStyle w:val="22"/>
                <w:rFonts w:hint="default"/>
                <w:color w:val="auto"/>
                <w:sz w:val="22"/>
                <w:szCs w:val="22"/>
                <w:highlight w:val="none"/>
              </w:rPr>
              <w:t>。（红色、灰色）</w:t>
            </w:r>
          </w:p>
        </w:tc>
      </w:tr>
      <w:tr w14:paraId="7A88F194">
        <w:tblPrEx>
          <w:tblCellMar>
            <w:top w:w="0" w:type="dxa"/>
            <w:left w:w="0" w:type="dxa"/>
            <w:bottom w:w="0" w:type="dxa"/>
            <w:right w:w="0" w:type="dxa"/>
          </w:tblCellMar>
        </w:tblPrEx>
        <w:trPr>
          <w:trHeight w:val="310"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36BA7">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41346">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047D06E6">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9</w:t>
            </w:r>
          </w:p>
        </w:tc>
        <w:tc>
          <w:tcPr>
            <w:tcW w:w="157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3490E">
            <w:pPr>
              <w:widowControl/>
              <w:jc w:val="left"/>
              <w:textAlignment w:val="center"/>
              <w:rPr>
                <w:rFonts w:hint="eastAsia" w:ascii="宋体" w:hAnsi="宋体" w:cs="宋体"/>
                <w:sz w:val="22"/>
                <w:highlight w:val="none"/>
              </w:rPr>
            </w:pPr>
            <w:r>
              <w:rPr>
                <w:rFonts w:hint="eastAsia" w:ascii="宋体" w:hAnsi="宋体" w:cs="宋体"/>
                <w:kern w:val="0"/>
                <w:sz w:val="22"/>
                <w:highlight w:val="none"/>
              </w:rPr>
              <w:t>花岗岩石材砖</w:t>
            </w:r>
          </w:p>
        </w:tc>
        <w:tc>
          <w:tcPr>
            <w:tcW w:w="130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878EA2">
            <w:pPr>
              <w:jc w:val="center"/>
              <w:rPr>
                <w:rFonts w:hint="eastAsia" w:ascii="宋体" w:hAnsi="宋体" w:cs="宋体"/>
                <w:sz w:val="22"/>
                <w:highlight w:val="none"/>
              </w:rPr>
            </w:pPr>
          </w:p>
        </w:tc>
        <w:tc>
          <w:tcPr>
            <w:tcW w:w="89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E41035">
            <w:pPr>
              <w:widowControl/>
              <w:jc w:val="left"/>
              <w:textAlignment w:val="center"/>
              <w:rPr>
                <w:rFonts w:hint="eastAsia" w:ascii="宋体" w:hAnsi="宋体" w:cs="宋体"/>
                <w:sz w:val="22"/>
                <w:highlight w:val="none"/>
              </w:rPr>
            </w:pPr>
            <w:r>
              <w:rPr>
                <w:rStyle w:val="22"/>
                <w:rFonts w:hint="default"/>
                <w:color w:val="auto"/>
                <w:sz w:val="22"/>
                <w:szCs w:val="22"/>
                <w:highlight w:val="none"/>
              </w:rPr>
              <w:t>花岗岩石材砖采用火烧面，饱和抗压强度</w:t>
            </w:r>
            <w:r>
              <w:rPr>
                <w:rStyle w:val="23"/>
                <w:rFonts w:hint="eastAsia" w:ascii="宋体" w:hAnsi="宋体" w:eastAsia="宋体" w:cs="宋体"/>
                <w:color w:val="auto"/>
                <w:sz w:val="28"/>
                <w:szCs w:val="28"/>
                <w:highlight w:val="none"/>
              </w:rPr>
              <w:t>≥80MPa</w:t>
            </w:r>
            <w:r>
              <w:rPr>
                <w:rStyle w:val="22"/>
                <w:rFonts w:hint="default"/>
                <w:color w:val="auto"/>
                <w:sz w:val="22"/>
                <w:szCs w:val="22"/>
                <w:highlight w:val="none"/>
              </w:rPr>
              <w:t>；饱和抗折强度</w:t>
            </w:r>
            <w:r>
              <w:rPr>
                <w:rStyle w:val="23"/>
                <w:rFonts w:hint="eastAsia" w:ascii="宋体" w:hAnsi="宋体" w:eastAsia="宋体" w:cs="宋体"/>
                <w:color w:val="auto"/>
                <w:sz w:val="28"/>
                <w:szCs w:val="28"/>
                <w:highlight w:val="none"/>
              </w:rPr>
              <w:t>≥9MPa</w:t>
            </w:r>
            <w:r>
              <w:rPr>
                <w:rStyle w:val="22"/>
                <w:rFonts w:hint="default"/>
                <w:color w:val="auto"/>
                <w:sz w:val="22"/>
                <w:szCs w:val="22"/>
                <w:highlight w:val="none"/>
              </w:rPr>
              <w:t>；</w:t>
            </w:r>
          </w:p>
        </w:tc>
      </w:tr>
      <w:tr w14:paraId="06EC64D4">
        <w:tblPrEx>
          <w:tblCellMar>
            <w:top w:w="0" w:type="dxa"/>
            <w:left w:w="0" w:type="dxa"/>
            <w:bottom w:w="0" w:type="dxa"/>
            <w:right w:w="0" w:type="dxa"/>
          </w:tblCellMar>
        </w:tblPrEx>
        <w:trPr>
          <w:trHeight w:val="568"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2D33ED">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73DCE">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5C2302E1">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10</w:t>
            </w:r>
          </w:p>
        </w:tc>
        <w:tc>
          <w:tcPr>
            <w:tcW w:w="157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25C2D">
            <w:pPr>
              <w:widowControl/>
              <w:jc w:val="left"/>
              <w:textAlignment w:val="center"/>
              <w:rPr>
                <w:rFonts w:hint="eastAsia" w:ascii="宋体" w:hAnsi="宋体" w:cs="宋体"/>
                <w:sz w:val="22"/>
                <w:highlight w:val="none"/>
              </w:rPr>
            </w:pPr>
            <w:r>
              <w:rPr>
                <w:rFonts w:hint="eastAsia" w:ascii="宋体" w:hAnsi="宋体" w:cs="宋体"/>
                <w:kern w:val="0"/>
                <w:sz w:val="22"/>
                <w:highlight w:val="none"/>
              </w:rPr>
              <w:t>芝麻灰花岗岩砖</w:t>
            </w:r>
          </w:p>
        </w:tc>
        <w:tc>
          <w:tcPr>
            <w:tcW w:w="130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E33944">
            <w:pPr>
              <w:jc w:val="center"/>
              <w:rPr>
                <w:rFonts w:hint="eastAsia" w:ascii="宋体" w:hAnsi="宋体" w:cs="宋体"/>
                <w:sz w:val="22"/>
                <w:highlight w:val="none"/>
              </w:rPr>
            </w:pPr>
          </w:p>
        </w:tc>
        <w:tc>
          <w:tcPr>
            <w:tcW w:w="89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F6223">
            <w:pPr>
              <w:widowControl/>
              <w:jc w:val="left"/>
              <w:textAlignment w:val="center"/>
              <w:rPr>
                <w:rFonts w:hint="eastAsia" w:ascii="宋体" w:hAnsi="宋体" w:cs="宋体"/>
                <w:sz w:val="22"/>
                <w:highlight w:val="none"/>
              </w:rPr>
            </w:pPr>
            <w:r>
              <w:rPr>
                <w:rStyle w:val="22"/>
                <w:rFonts w:hint="default"/>
                <w:color w:val="auto"/>
                <w:sz w:val="22"/>
                <w:szCs w:val="22"/>
                <w:highlight w:val="none"/>
              </w:rPr>
              <w:t>花岗岩砖采用粗面板材，其干燥压缩强度不小于</w:t>
            </w:r>
            <w:r>
              <w:rPr>
                <w:rStyle w:val="23"/>
                <w:rFonts w:hint="eastAsia" w:ascii="宋体" w:hAnsi="宋体" w:eastAsia="宋体" w:cs="宋体"/>
                <w:color w:val="auto"/>
                <w:sz w:val="28"/>
                <w:szCs w:val="28"/>
                <w:highlight w:val="none"/>
              </w:rPr>
              <w:t>100MPa</w:t>
            </w:r>
            <w:r>
              <w:rPr>
                <w:rStyle w:val="22"/>
                <w:rFonts w:hint="default"/>
                <w:color w:val="auto"/>
                <w:sz w:val="22"/>
                <w:szCs w:val="22"/>
                <w:highlight w:val="none"/>
              </w:rPr>
              <w:t>，弯曲强度不小于</w:t>
            </w:r>
            <w:r>
              <w:rPr>
                <w:rStyle w:val="23"/>
                <w:rFonts w:hint="eastAsia" w:ascii="宋体" w:hAnsi="宋体" w:eastAsia="宋体" w:cs="宋体"/>
                <w:color w:val="auto"/>
                <w:sz w:val="28"/>
                <w:szCs w:val="28"/>
                <w:highlight w:val="none"/>
              </w:rPr>
              <w:t>8MPa</w:t>
            </w:r>
            <w:r>
              <w:rPr>
                <w:rStyle w:val="22"/>
                <w:rFonts w:hint="default"/>
                <w:color w:val="auto"/>
                <w:sz w:val="22"/>
                <w:szCs w:val="22"/>
                <w:highlight w:val="none"/>
              </w:rPr>
              <w:t>。</w:t>
            </w:r>
          </w:p>
        </w:tc>
      </w:tr>
      <w:tr w14:paraId="5B5C2077">
        <w:tblPrEx>
          <w:tblCellMar>
            <w:top w:w="0" w:type="dxa"/>
            <w:left w:w="0" w:type="dxa"/>
            <w:bottom w:w="0" w:type="dxa"/>
            <w:right w:w="0" w:type="dxa"/>
          </w:tblCellMar>
        </w:tblPrEx>
        <w:trPr>
          <w:trHeight w:val="4581" w:hRule="atLeast"/>
        </w:trPr>
        <w:tc>
          <w:tcPr>
            <w:tcW w:w="36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FE4DB">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4</w:t>
            </w:r>
          </w:p>
        </w:tc>
        <w:tc>
          <w:tcPr>
            <w:tcW w:w="1116"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AE04F1">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交通专业</w:t>
            </w: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B6C4F2">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1</w:t>
            </w:r>
          </w:p>
        </w:tc>
        <w:tc>
          <w:tcPr>
            <w:tcW w:w="157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35698">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交通安全设施（标志、标线、标牌）</w:t>
            </w:r>
          </w:p>
        </w:tc>
        <w:tc>
          <w:tcPr>
            <w:tcW w:w="130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B379D37">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道路</w:t>
            </w:r>
          </w:p>
        </w:tc>
        <w:tc>
          <w:tcPr>
            <w:tcW w:w="896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8ED910C">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1、指路标志：主干路5mx3m，次干路、支路：4mx2.5m，主干路、次干路与右近右出支路交叉口：2.6mx1.2m。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单柱式丁字口指路标志：1.2mX1.45m，单柱式丁字口指路标志：1.2mX1.9m。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分向行驶车道标志：3车道：3.4mx2m，4.2mx2m，5车道：5mx2m，其余禁令、指示、警告标志尺寸按照规范标准执行。</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2、标志牌版面厚度：悬臂式标志：3mm，单柱式标志：2mm。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3、反光膜等级：主干路、次干路、支路：Ⅳ类反光膜。快速路：Ⅴ类发光膜</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4、标志杆件：</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单立杆：单立杆主要支持小型标志，单立杆采用 76mm和 114mm的钢管制作。</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单悬臂式标志杆：立柱采用 273mm钢管和 299mm钢管和 325mm钢管制作，是指路标牌的支持构件。</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5、材料的防锈处理：各类交通设施标志的杆件、螺栓、螺母均应进行热镀锌处理，立柱横梁及法兰盘的镀锌量为600g/m2。紧固件为350g/m2。</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6、标志架基础处理：单柱标志架基础下铺设15cm石灰土，地基承载力≥100KPa；悬臂式标志架基础下铺设30cm石灰土，地基承载力≥130KPa。石灰含量均为10%，压实度≥95%，7天无侧限抗压强度≥0.7Mpa。基坑开挖时，对于洞穴、墓道等应先将其硬化基础全部挖除，然后采用素土分层回填压实至石灰土底部；如遇垃圾土，应将垃圾土清理干净，用素土回填至石灰土底部。</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7、标线材料：常规标线采取热熔标线材料，厚度为2mm；减速振动标线厚度为4mm。</w:t>
            </w:r>
          </w:p>
        </w:tc>
      </w:tr>
      <w:tr w14:paraId="1F4FD845">
        <w:tblPrEx>
          <w:tblCellMar>
            <w:top w:w="0" w:type="dxa"/>
            <w:left w:w="0" w:type="dxa"/>
            <w:bottom w:w="0" w:type="dxa"/>
            <w:right w:w="0" w:type="dxa"/>
          </w:tblCellMar>
        </w:tblPrEx>
        <w:trPr>
          <w:trHeight w:val="3441"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18CE2">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C4EE5">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D6FB76">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2</w:t>
            </w:r>
          </w:p>
        </w:tc>
        <w:tc>
          <w:tcPr>
            <w:tcW w:w="157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E066B">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交通管理设施</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（信号灯、电子监控等）</w:t>
            </w:r>
          </w:p>
        </w:tc>
        <w:tc>
          <w:tcPr>
            <w:tcW w:w="13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93E77">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交叉口、行车道、人行道等</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9CCD5">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1、由市政箱变至各交叉口预埋∅90x5.4mmPE100智能信号灯机柜电源电缆保护管一根（敷设于人行道或绿篱带下）。其路由距离不应大于750m。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各交叉路口均敷设三根环状电缆保护管。在车行道下敷设的电缆保护管均采用∅100x5.0mm内套耐腐衬管的热镀锌钢管，埋深-1.0m；在人行道、绿化带内敷设的电缆保护管均采用ø110x6.6mmPE100管，在人行道内埋深-0.8m，在绿化带内埋深-1.5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20m及以上道路交叉口均设置智能交通信号灯系统；红线宽度30m及以上道路的交叉口增设交通视频监控系统；红线宽度40m及以上道路的交叉口增设电子警察系统、车流量监测系统；红线宽度60m及以上道路各交叉口中央分隔带增设一体化车行道信号灯、一体化人行道信号灯系统。设有左转待转区的交叉路口，视具体情况增设一体化车行道信号灯。红线宽度30m及以上道路的独立人行道，设置一体化车行道信号灯、一体化人行道信号灯系统。</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4、智能信号灯机柜采用2mm不锈钢板制作，机柜内设～380/220V配电装置、接地端子排、智能交通信号控制主机、信号机故障监测设备、8口百兆网络交换机、百兆单模单纤光纤收发器等设备及相应接线端子。信号灯故障信息可通过GPRS无线传回交通控制中心或建设单位指定的后台监控设备。机柜内设备应与交通管理、运维部门的后台管理及报警系统匹配。机柜布置在各交叉口电源引来方向的人行道侧绿化带内，开门方向应易于维护且避免西晒。智能信号灯机柜内预留电子警察系统、视频监控系统的～220V电源回路。其中，每个视频监控系统抱杆机箱一回路，电子警察系统控制机柜两回路（每个回路最多可为两套电子警察系统抱杆机箱供电）。接地系统型式为TN-S。接地极采用∅50x5x2500mm不锈钢管，接地线采用-40x4不锈钢带。每根灯杆处重复接地，要求单杆接地电阻不大于10欧姆，联合接地电阻不大于1欧姆。</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5、人行道信号灯发光单元直径∅300mm，采用两位人行灯，红、绿两色分屏显示。灯杆为多边异型一体化钢管灯杆，杆高3.5m，带LED P10室外双基色显示屏，LED屏文字内容：红色-行人禁止通行，绿色-行人安全通行，字高200mm。人行道倒计时屏嵌入红灯处。</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6、车行道信号灯采用方形灯杆、矩形横臂，杆高7.8m（一体化车行道信号灯灯杆为多边形异型一体化钢管灯杆，杆高5.5m），采用Q235C钢板制作，发光单元直径∅400mm，红、黄、绿三色分屏显示，倒计时屏嵌入黄灯处。</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7、设置有电子警察、车流量监测、视频监控系统的交叉路口均设置落地式电子警察系统控制机柜一台（尽量靠近信号灯机柜）。机柜采用2mm不锈钢板制作，机柜内设漏电保护断路器、接地端子排、AC220V/10A电源插座、AC220V/1.5kW稳压电源、终端服务器（控制主机）、信号灯检测器、8口百兆网络交换机、百兆单模单纤光纤收发器、光纤终端盒等设备及相应接线端子等。</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8、每组电子警察立杆横臂上放置一体化高清电子警察抓拍摄像机（拍摄方向与行车方向一致）及一体化高清电子警察卡口摄像机（拍摄方向与行车方向相反）。300万像素摄像机可抓拍一个车道，900万像素摄像机可抓拍三个车道，每车道对应设置一套电子警察抓拍频闪补光灯（补光方向与行车方向一致）及一套电子警察抓拍闪光灯（闪光方向与行车方向相反）。电子警察立杆设置在停车线后18～24米处，立杆中心距机动车道路缘石0.8m。每组电子警察立杆上设置电子警察系统抱杆机箱一台，底边距地2.5米。</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9、交通视频监控摄像机采用高速一体化300万像素高清彩色快球摄像机，优先设于车行道信号灯横臂末端（立杆上设置视频监控系统抱杆机箱一台，底边距地2.5米）。正常情况下，十字路口设置两台，丁字路口设置一台。</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10、车流量监测摄像机采用交通流量监测专用200万像素一体化高清摄像机，优先设于电子警察横臂上。一体化高清摄像机拍摄方向与行车方向相反。每台摄像机对应设置一套全景补光灯（补光方向与行车方向相反）。正常情况下，每个路口的各方向均设置一套。</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11、电子警察系统、视频监控系统、车流量监测系统采用八边形或十二边形立杆，采用GR65高强度钢板制作，杆高7.5m左右。立杆旁及线路转弯、分支处设电缆接线井。接线井距立杆间距不小于2m。两个接线井间距小于3m时可共用一个接线井。</w:t>
            </w:r>
          </w:p>
        </w:tc>
      </w:tr>
      <w:tr w14:paraId="46C6E732">
        <w:tblPrEx>
          <w:tblCellMar>
            <w:top w:w="0" w:type="dxa"/>
            <w:left w:w="0" w:type="dxa"/>
            <w:bottom w:w="0" w:type="dxa"/>
            <w:right w:w="0" w:type="dxa"/>
          </w:tblCellMar>
        </w:tblPrEx>
        <w:trPr>
          <w:trHeight w:val="312" w:hRule="atLeast"/>
        </w:trPr>
        <w:tc>
          <w:tcPr>
            <w:tcW w:w="36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978733">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5</w:t>
            </w:r>
          </w:p>
        </w:tc>
        <w:tc>
          <w:tcPr>
            <w:tcW w:w="1116"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1ACB26">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照明工程</w:t>
            </w:r>
          </w:p>
        </w:tc>
        <w:tc>
          <w:tcPr>
            <w:tcW w:w="372"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BDE22">
            <w:pPr>
              <w:jc w:val="center"/>
              <w:rPr>
                <w:rFonts w:hint="eastAsia" w:ascii="宋体" w:hAnsi="宋体" w:cs="宋体"/>
                <w:sz w:val="24"/>
                <w:szCs w:val="24"/>
                <w:highlight w:val="none"/>
              </w:rPr>
            </w:pPr>
          </w:p>
        </w:tc>
        <w:tc>
          <w:tcPr>
            <w:tcW w:w="1576"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5D93E">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路灯</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（详情参照：西安高新区标准横断面路灯参数汇总简表）</w:t>
            </w:r>
          </w:p>
        </w:tc>
        <w:tc>
          <w:tcPr>
            <w:tcW w:w="130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7F533">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道路、人行道、</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车行道</w:t>
            </w:r>
          </w:p>
        </w:tc>
        <w:tc>
          <w:tcPr>
            <w:tcW w:w="896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5008B">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道路照明均按三级负荷采取供配电措施。用于道路照明工程的市政箱变供电（路由）半径750m左右。箱变电源由城市10kV公网引入，高压电缆由当地供电部门负责实施。变压器容量应适当考虑相交道路照明容量。箱变低压馈出回路电源电压均为～380/220V，接地系统型式为TN-S。接地极采用∅50x5x2500mm不锈钢管，接地线采用-40x4不锈钢带。每根灯杆处重复接地，要求单杆接地电阻不大于10欧姆，联合接地电阻不大于1欧姆。</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箱变内的智能路灯集中控制器采用建设单位指定的统一型号，智能路灯集中控制器与监控中心的通信采用GPRS方式，与各路灯杆内单灯控制器的通信采用电力载波方式，可监测灯具的电压、电流、功率等工作状态信息，控制路灯开、关、节能调光。路灯后台管理及报警系统设备和管理软件由相关建设单位另行处理。路灯监控系统应与相应后台管理及报警系统匹配，并由运维部门统一接入各后台管理及报警系统。</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双臂路灯的灯臂两侧对称时，机、非车道灯具外形尺寸应保持一致。灯具采用半截光型，高压铸铝外壳，防触电等级Ⅰ类，整灯防护等级不低于IP65，配套防坠吊链，并符合《LED城市道路照明应用技术要求GB/T31832-2015》及《灯具安全要求及试验（GB7000.1～7000.18-2007）》的相关规定。灯具采用LED光源，额定电源电压～220V，色温4000K±200K，效能≥130lm/W，光源光通量衰减率@10000h≤6%，显色指数≥75，色品容差≤7SDCM，功率因数≥0.9，平均有效寿命≥50000h，寿命周期内光源的色品坐标与初始值的偏差≤0.012。</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4、每套灯具均带调光电源。调光电源配套0～10V或1～10V调光控制接口，单灯控制器调光方式应与灯具调光电源相匹配，通信方式应与路灯箱变或配电柜内的智能路灯集中控制器相匹配。灯具控制装置须符合《灯的控制装置（GB19510-2009）》的相关要求。灯具正常情况下前半夜按80%左右额定功率运行，后半夜按60%左右额定功率运行，天亮前一小时再恢复至80%左右额定功率运行。根据灯具光通量衰减情况，逐渐上调灯具运行功率，即可满足照明标准，又可节能。灯具厂家可在取得建设单位、设计单位同意后，按厂家参数调整灯具功率。</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5、各交叉口照明一般采用三火路灯。设有导流岛的交叉口，在导流岛内设五火路灯或六火路灯。杆高一般为14m，灯具采用LED光源投光灯。</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6、各灯杆内均设电力载波通信格式的单灯控制器（单臂路灯采用一控一型1只，双臂路灯采用一控二型1只，三火路灯采用一控二型1只、一控一型1只，防护等级不低于IP65）。各路灯灯杆均设配电检修门及控制检修门，尺寸分别为W110xH500mm、W110xH400mm。其中，配电检修门内安装路灯专用防水电缆接线盒（内设微型漏电保护断路器）；控制检修门内安装单灯控制器。检修门内应预留用于安装防水电缆接线盒、单灯控制器的扁钢横方条，并对灯杆采取加强措施。灯杆在灯臂与立杆连接处或立杆插接处以下壁厚5mm，以上壁厚4mm。灯杆生产厂家须校验灯杆强度，并应符合《道路照明灯杆技术条件（CJT527-2018）》的要求。检修门均配内三角防盗螺栓。</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7、标准横断面的路灯布置及主要参数参见附表。</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8、路灯主电缆统一采用TC90/YJHLV-5x50型铝合金电力电缆。路灯主电缆与路灯支线在灯杆检修门内接线。防水电缆接线盒内配套微型漏电保护断路器。</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9、考虑智能公交站、公共自行车等小负荷市政用电及道路景观照明的需要，除原照明工程设计的电缆预埋管外，有两侧分隔带的道路，在两侧分隔带下全线各预埋∅90x5.4mmPE100管两根，预埋管中心距机动车道侧路缘石0.1～0.2m；红线宽度60m及以上道路的中央分隔带两侧全线各预埋∅90x5.4mmPE100管一根，预埋管中心距机动车道侧路缘石0.1～0.2m；道路两侧人行道下全线各预埋∅90x5.4mmPE100管一根、∅110x6.6mmPE100管两根，预埋管中心距非机动车道侧路缘石0.1～0.2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10、人行道（绿篱带）下敷设的电缆预埋管，在转弯处、过路处、直线段每50m处设电缆接线井。有两侧分隔带、中央分隔带（红线宽度60m及以上）的道路，过路预埋管在人行道（绿篱带）、两侧分隔带、中央分隔带（红线宽度60m及以上）内均设电缆接线井。电缆接线井可与照明工程、交通管理设施工程原设计电缆接线井共用。设于两侧分隔带内的公交站台附近设电缆接线井一座，并预埋电缆过路保护管两根连接至人行道内的电缆接线井。</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11、在车行道下敷设的电缆过路保护管均采用∅100x5.0mm内套耐腐衬管的热镀锌钢管（穿过现状道路处采用∅110x6.6mmPE100管顶管施工），埋深-1.0m。电缆保护管在人行道内埋深-0.8m，在绿化带（分隔带、绿篱带）内埋深-1.5m，伸入隔车带或路侧带0.8m。电缆接线井规格600x800x1200mm，井盖承载不低于C250级。</w:t>
            </w:r>
          </w:p>
        </w:tc>
      </w:tr>
      <w:tr w14:paraId="6C503874">
        <w:tblPrEx>
          <w:tblCellMar>
            <w:top w:w="0" w:type="dxa"/>
            <w:left w:w="0" w:type="dxa"/>
            <w:bottom w:w="0" w:type="dxa"/>
            <w:right w:w="0" w:type="dxa"/>
          </w:tblCellMar>
        </w:tblPrEx>
        <w:trPr>
          <w:trHeight w:val="584"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94A034">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568721">
            <w:pPr>
              <w:jc w:val="center"/>
              <w:rPr>
                <w:rFonts w:hint="eastAsia" w:ascii="宋体" w:hAnsi="宋体" w:cs="宋体"/>
                <w:sz w:val="24"/>
                <w:szCs w:val="24"/>
                <w:highlight w:val="none"/>
              </w:rPr>
            </w:pPr>
          </w:p>
        </w:tc>
        <w:tc>
          <w:tcPr>
            <w:tcW w:w="372"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486BC">
            <w:pPr>
              <w:jc w:val="center"/>
              <w:rPr>
                <w:rFonts w:hint="eastAsia" w:ascii="宋体" w:hAnsi="宋体" w:cs="宋体"/>
                <w:sz w:val="24"/>
                <w:szCs w:val="24"/>
                <w:highlight w:val="none"/>
              </w:rPr>
            </w:pPr>
          </w:p>
        </w:tc>
        <w:tc>
          <w:tcPr>
            <w:tcW w:w="157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273E9">
            <w:pPr>
              <w:jc w:val="left"/>
              <w:rPr>
                <w:rFonts w:hint="eastAsia" w:ascii="宋体" w:hAnsi="宋体" w:cs="宋体"/>
                <w:sz w:val="24"/>
                <w:szCs w:val="24"/>
                <w:highlight w:val="none"/>
              </w:rPr>
            </w:pPr>
          </w:p>
        </w:tc>
        <w:tc>
          <w:tcPr>
            <w:tcW w:w="130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A3BFD">
            <w:pPr>
              <w:jc w:val="left"/>
              <w:rPr>
                <w:rFonts w:hint="eastAsia" w:ascii="宋体" w:hAnsi="宋体" w:cs="宋体"/>
                <w:sz w:val="24"/>
                <w:szCs w:val="24"/>
                <w:highlight w:val="none"/>
              </w:rPr>
            </w:pPr>
          </w:p>
        </w:tc>
        <w:tc>
          <w:tcPr>
            <w:tcW w:w="896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4BD43">
            <w:pPr>
              <w:jc w:val="left"/>
              <w:rPr>
                <w:rFonts w:hint="eastAsia" w:ascii="宋体" w:hAnsi="宋体" w:cs="宋体"/>
                <w:sz w:val="24"/>
                <w:szCs w:val="24"/>
                <w:highlight w:val="none"/>
              </w:rPr>
            </w:pPr>
          </w:p>
        </w:tc>
      </w:tr>
      <w:tr w14:paraId="4F2DD17F">
        <w:tblPrEx>
          <w:tblCellMar>
            <w:top w:w="0" w:type="dxa"/>
            <w:left w:w="0" w:type="dxa"/>
            <w:bottom w:w="0" w:type="dxa"/>
            <w:right w:w="0" w:type="dxa"/>
          </w:tblCellMar>
        </w:tblPrEx>
        <w:trPr>
          <w:trHeight w:val="6004" w:hRule="atLeast"/>
        </w:trPr>
        <w:tc>
          <w:tcPr>
            <w:tcW w:w="36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56A36">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6</w:t>
            </w:r>
          </w:p>
        </w:tc>
        <w:tc>
          <w:tcPr>
            <w:tcW w:w="1116"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6483C">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电力、</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通信管沟</w:t>
            </w: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92A9B4">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1</w:t>
            </w:r>
          </w:p>
        </w:tc>
        <w:tc>
          <w:tcPr>
            <w:tcW w:w="157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80924">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过街MPP管</w:t>
            </w:r>
          </w:p>
        </w:tc>
        <w:tc>
          <w:tcPr>
            <w:tcW w:w="13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2DA85E">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电力管沟</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80AB2">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1、性能指标应满足《电力电缆用导管技术条件 第7部分非开挖用改性聚丙烯塑料电缆导管》（DL/T802.7-2010）中相关要求。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2、主要物理力学性能</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3、MPP管的主要物理力学性能</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项  目                                  要求                 试验方法</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密度(g/cm³)                          0.91-0.96              GB1033-86</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滑动摩擦系数                           &lt;0.35               GB/T3960-89</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拉伸强度（23±2）℃Mpa                 ≥24.0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拉伸强度（70±2）℃                    ≥18.0              GB/T1040-92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熔接拉伸强度（23±2）℃ Mpa            ≥21.6              GB/T1040-92</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弯曲强度（23±2）℃ Mpa                ≥37.0              GB/T9341-2000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弯曲弹性模量  (Mpa)                  1000-1200             GB/T9341-2000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扁平试验（管径的1/2，-5℃）           不破裂                GB9647-88</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维卡耐热（10N，50℃/h）℃              ≥120               GB/T1633-2000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不圆度 (mm)                           3.6-5.0              GB/T13633-2000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最小允许弯曲半径                       ≤75D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材料定性                             改性聚丙烯MPP          ASTME168-99</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落锤冲击试验（-5℃/8h，R20）</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  D＞160,10kg*2m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  D≤160,6kg*2m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  D≤125,5kg*2m                        9/10不破裂          GB/T6112-1985</w:t>
            </w:r>
          </w:p>
        </w:tc>
      </w:tr>
      <w:tr w14:paraId="32ACFBC5">
        <w:tblPrEx>
          <w:tblCellMar>
            <w:top w:w="0" w:type="dxa"/>
            <w:left w:w="0" w:type="dxa"/>
            <w:bottom w:w="0" w:type="dxa"/>
            <w:right w:w="0" w:type="dxa"/>
          </w:tblCellMar>
        </w:tblPrEx>
        <w:trPr>
          <w:trHeight w:val="4581"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18D5D">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E7401">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13917A">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2</w:t>
            </w:r>
          </w:p>
        </w:tc>
        <w:tc>
          <w:tcPr>
            <w:tcW w:w="157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E8A4F">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通信玻璃</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钢支架</w:t>
            </w:r>
          </w:p>
        </w:tc>
        <w:tc>
          <w:tcPr>
            <w:tcW w:w="13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9E5B3">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电缆支架</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A73CE">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玻璃钢电缆支架进场前必须进行有关质量检验，并进行备案，技术参数须达到以下要求：</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1、材质上必须是无碱产品；</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2、尺寸要求：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直埋支架外露支撑梁长度大于300mm，墙体内固定长度须不小于150mm；</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直埋支架外露支撑梁长度250-300mm，墙体内固定长度须不小于120mm；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3、承载力： 螺栓式支架中心点承重大于等于200KG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4、氧指数： 大于26%，JT/T898-2014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5、弯曲强度：大于200MPa，GB1449-2005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6、拉伸强度：大于100 MPa，GB1447-2005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 xml:space="preserve">7、耐电弧：180秒，GB1411-2002 </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8、绝缘电阻：1.0x1013 GB1411-2002</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9、玻纤含量：30±2%</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10、电绝缘性：a） 电绝缘型，绝缘电阻大于1000GΩ；b） 抗静电型，表面电阻小于10GΩ。</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11、使用寿命：地下50年.</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12、防火等级：B1级</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13、热变形温度大于200℃</w:t>
            </w:r>
          </w:p>
        </w:tc>
      </w:tr>
      <w:tr w14:paraId="1F37E613">
        <w:tblPrEx>
          <w:tblCellMar>
            <w:top w:w="0" w:type="dxa"/>
            <w:left w:w="0" w:type="dxa"/>
            <w:bottom w:w="0" w:type="dxa"/>
            <w:right w:w="0" w:type="dxa"/>
          </w:tblCellMar>
        </w:tblPrEx>
        <w:trPr>
          <w:trHeight w:val="879"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A9F50">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D899F">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DF14EC">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3</w:t>
            </w:r>
          </w:p>
        </w:tc>
        <w:tc>
          <w:tcPr>
            <w:tcW w:w="157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80032">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预埋通信管（PVC双壁波纹管）</w:t>
            </w:r>
          </w:p>
        </w:tc>
        <w:tc>
          <w:tcPr>
            <w:tcW w:w="13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D3AC3C">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地下通信管道</w:t>
            </w: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75814">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PVC双壁波纹管选用标准型（110×6000mm）PVC双壁波纹管，管材质量要求符合《地下通信管道用塑料管》（YDT841.4-2008）质量标准要求</w:t>
            </w:r>
          </w:p>
        </w:tc>
      </w:tr>
      <w:tr w14:paraId="54D4467A">
        <w:tblPrEx>
          <w:tblCellMar>
            <w:top w:w="0" w:type="dxa"/>
            <w:left w:w="0" w:type="dxa"/>
            <w:bottom w:w="0" w:type="dxa"/>
            <w:right w:w="0" w:type="dxa"/>
          </w:tblCellMar>
        </w:tblPrEx>
        <w:trPr>
          <w:trHeight w:val="889" w:hRule="atLeast"/>
        </w:trPr>
        <w:tc>
          <w:tcPr>
            <w:tcW w:w="36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458">
            <w:pPr>
              <w:jc w:val="center"/>
              <w:rPr>
                <w:rFonts w:hint="eastAsia" w:ascii="宋体" w:hAnsi="宋体" w:cs="宋体"/>
                <w:sz w:val="24"/>
                <w:szCs w:val="24"/>
                <w:highlight w:val="none"/>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B3723">
            <w:pPr>
              <w:jc w:val="center"/>
              <w:rPr>
                <w:rFonts w:hint="eastAsia" w:ascii="宋体" w:hAnsi="宋体" w:cs="宋体"/>
                <w:sz w:val="24"/>
                <w:szCs w:val="24"/>
                <w:highlight w:val="none"/>
              </w:rPr>
            </w:pPr>
          </w:p>
        </w:tc>
        <w:tc>
          <w:tcPr>
            <w:tcW w:w="37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7DA595">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4</w:t>
            </w:r>
          </w:p>
        </w:tc>
        <w:tc>
          <w:tcPr>
            <w:tcW w:w="157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F70FA5">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防水材料</w:t>
            </w:r>
          </w:p>
        </w:tc>
        <w:tc>
          <w:tcPr>
            <w:tcW w:w="13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9BF13">
            <w:pPr>
              <w:jc w:val="center"/>
              <w:rPr>
                <w:rFonts w:hint="eastAsia" w:ascii="宋体" w:hAnsi="宋体" w:cs="宋体"/>
                <w:sz w:val="24"/>
                <w:szCs w:val="24"/>
                <w:highlight w:val="none"/>
              </w:rPr>
            </w:pPr>
          </w:p>
        </w:tc>
        <w:tc>
          <w:tcPr>
            <w:tcW w:w="89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E0675">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1、反应型自粘高分子防水卷材执行《预铺/湿铺防水卷材》（GB/T 23457-2009）标准。</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2、高聚物改性沥青耐根穿刺防水卷材（化学阻根）执行《种植屋面用耐根穿刺防水卷材》（JC/T 1075-2008）标准，必须通过2年的耐根穿刺性能检测。</w:t>
            </w:r>
          </w:p>
        </w:tc>
      </w:tr>
    </w:tbl>
    <w:p w14:paraId="4BC554AC">
      <w:pPr>
        <w:pStyle w:val="7"/>
        <w:rPr>
          <w:rFonts w:hint="eastAsia"/>
          <w:b/>
          <w:bCs/>
          <w:sz w:val="22"/>
          <w:szCs w:val="22"/>
          <w:highlight w:val="none"/>
        </w:rPr>
        <w:sectPr>
          <w:pgSz w:w="16838" w:h="11906" w:orient="landscape"/>
          <w:pgMar w:top="1800" w:right="1440" w:bottom="1800" w:left="1440" w:header="851" w:footer="992" w:gutter="0"/>
          <w:pgNumType w:fmt="decimal"/>
          <w:cols w:space="720" w:num="1"/>
          <w:docGrid w:type="lines" w:linePitch="312" w:charSpace="0"/>
        </w:sectPr>
      </w:pPr>
      <w:r>
        <w:rPr>
          <w:rFonts w:hint="eastAsia"/>
          <w:b/>
          <w:bCs/>
          <w:sz w:val="22"/>
          <w:szCs w:val="22"/>
          <w:highlight w:val="none"/>
        </w:rPr>
        <w:t>注:若上述</w:t>
      </w:r>
      <w:r>
        <w:rPr>
          <w:rFonts w:hint="eastAsia"/>
          <w:b/>
          <w:bCs/>
          <w:kern w:val="0"/>
          <w:sz w:val="24"/>
          <w:szCs w:val="24"/>
          <w:highlight w:val="none"/>
        </w:rPr>
        <w:t>技术参数</w:t>
      </w:r>
      <w:r>
        <w:rPr>
          <w:rFonts w:hint="eastAsia"/>
          <w:b/>
          <w:bCs/>
          <w:sz w:val="22"/>
          <w:szCs w:val="22"/>
          <w:highlight w:val="none"/>
        </w:rPr>
        <w:t>与图纸不一致，以最高要求为准。</w:t>
      </w:r>
    </w:p>
    <w:p w14:paraId="23F753E2">
      <w:pPr>
        <w:pStyle w:val="7"/>
        <w:rPr>
          <w:rFonts w:hint="eastAsia"/>
          <w:sz w:val="28"/>
          <w:szCs w:val="22"/>
          <w:highlight w:val="none"/>
          <w:lang w:val="en-US"/>
        </w:rPr>
      </w:pPr>
      <w:r>
        <w:rPr>
          <w:rFonts w:hint="eastAsia"/>
          <w:sz w:val="28"/>
          <w:szCs w:val="22"/>
          <w:highlight w:val="none"/>
          <w:lang w:val="en-US"/>
        </w:rPr>
        <w:t>附件九：设计任务书</w:t>
      </w:r>
    </w:p>
    <w:p w14:paraId="31C5D3BF">
      <w:pPr>
        <w:outlineLvl w:val="0"/>
        <w:rPr>
          <w:rFonts w:hint="eastAsia" w:ascii="宋体" w:hAnsi="宋体" w:cs="宋体"/>
          <w:b/>
        </w:rPr>
      </w:pPr>
      <w:bookmarkStart w:id="590" w:name="_Toc14491"/>
      <w:bookmarkStart w:id="591" w:name="_Toc3020"/>
      <w:bookmarkStart w:id="592" w:name="_Toc15437"/>
      <w:r>
        <w:rPr>
          <w:rFonts w:hint="eastAsia" w:ascii="宋体" w:hAnsi="宋体" w:cs="宋体"/>
          <w:b/>
        </w:rPr>
        <w:t>一、</w:t>
      </w:r>
      <w:bookmarkEnd w:id="590"/>
      <w:r>
        <w:rPr>
          <w:rFonts w:hint="eastAsia" w:ascii="宋体" w:hAnsi="宋体" w:cs="宋体"/>
          <w:b/>
        </w:rPr>
        <w:t>项目概况</w:t>
      </w:r>
      <w:bookmarkEnd w:id="591"/>
      <w:bookmarkEnd w:id="592"/>
    </w:p>
    <w:p w14:paraId="65B84381">
      <w:pPr>
        <w:pStyle w:val="7"/>
        <w:jc w:val="left"/>
        <w:rPr>
          <w:rFonts w:hint="eastAsia"/>
          <w:sz w:val="24"/>
          <w:szCs w:val="24"/>
        </w:rPr>
      </w:pPr>
      <w:r>
        <w:rPr>
          <w:rFonts w:hint="eastAsia"/>
          <w:sz w:val="24"/>
          <w:szCs w:val="24"/>
        </w:rPr>
        <w:t>1、项目介绍：</w:t>
      </w:r>
    </w:p>
    <w:p w14:paraId="47721B76">
      <w:pPr>
        <w:pStyle w:val="7"/>
        <w:ind w:firstLine="640"/>
        <w:rPr>
          <w:rFonts w:hint="eastAsia"/>
          <w:sz w:val="24"/>
          <w:szCs w:val="24"/>
        </w:rPr>
      </w:pPr>
      <w:r>
        <w:rPr>
          <w:rFonts w:hint="eastAsia"/>
          <w:sz w:val="24"/>
          <w:szCs w:val="24"/>
        </w:rPr>
        <w:t>纬二十路市政道路属于“西安高新区2025年“基础设施”建设项目清单（新开工）”第二类市政道路及桥梁项目（15个）其中之一。</w:t>
      </w:r>
    </w:p>
    <w:p w14:paraId="3A7148D0">
      <w:pPr>
        <w:pStyle w:val="7"/>
        <w:ind w:firstLine="640"/>
        <w:rPr>
          <w:rFonts w:hint="eastAsia"/>
          <w:sz w:val="24"/>
          <w:szCs w:val="24"/>
        </w:rPr>
      </w:pPr>
      <w:r>
        <w:rPr>
          <w:rFonts w:hint="eastAsia"/>
          <w:sz w:val="24"/>
          <w:szCs w:val="24"/>
        </w:rPr>
        <w:t>纬二十路（经四十路-造字台路）市政道路建设项目位于西安市高新区中南部。项目范围西起经四十路，东至造字台路，（经二十路-经二十二路段半幅修建），全长4650.858m，规划红线宽40-50m，设计速度50km/h。含道路、交通、给水、排水、再生水、线缆管廊、照明等专业。</w:t>
      </w:r>
    </w:p>
    <w:p w14:paraId="070D22A3">
      <w:pPr>
        <w:pStyle w:val="7"/>
        <w:ind w:firstLine="640"/>
        <w:rPr>
          <w:rFonts w:hint="eastAsia"/>
          <w:sz w:val="24"/>
          <w:szCs w:val="24"/>
        </w:rPr>
      </w:pPr>
      <w:r>
        <w:rPr>
          <w:rFonts w:hint="eastAsia"/>
          <w:sz w:val="24"/>
          <w:szCs w:val="24"/>
        </w:rPr>
        <w:t>为贯彻党中央、国务院关于“两重”工作重要决策部署，西安市印发了《西安市城市地下管网管廊及设施建设改造实施方案》，高新区管委会积极响应，为了有序推进城市地下管网管廊及设施建设改造工作，将已纳入高新区2025年重点建设项目的纬二十路市政道路工程按照《实施方案》要求，启动了韦斗大道（纬二十路）（经四十路-造字台路）雨、污水管网、管廊及地下管线工程相关设计工作。</w:t>
      </w:r>
    </w:p>
    <w:p w14:paraId="0A08F736">
      <w:pPr>
        <w:pStyle w:val="7"/>
        <w:ind w:firstLine="640"/>
        <w:rPr>
          <w:rFonts w:hint="eastAsia"/>
          <w:sz w:val="24"/>
          <w:szCs w:val="24"/>
        </w:rPr>
      </w:pPr>
      <w:r>
        <w:rPr>
          <w:rFonts w:hint="eastAsia"/>
          <w:sz w:val="24"/>
          <w:szCs w:val="24"/>
        </w:rPr>
        <w:t>为了配合韦斗大道（纬二十路）（经四十路-造字台路）雨、污水管网、管廊及地下管线工程的实施，建设单位适时启动了韦斗大道（纬二十路）（经四十路-造字台路）道路工程项目研究工作。</w:t>
      </w:r>
    </w:p>
    <w:p w14:paraId="4A84A3BF">
      <w:pPr>
        <w:pStyle w:val="7"/>
        <w:ind w:firstLine="640"/>
        <w:rPr>
          <w:rFonts w:hint="eastAsia"/>
          <w:sz w:val="24"/>
          <w:szCs w:val="24"/>
        </w:rPr>
      </w:pPr>
      <w:r>
        <w:rPr>
          <w:rFonts w:hint="eastAsia"/>
          <w:sz w:val="24"/>
          <w:szCs w:val="24"/>
        </w:rPr>
        <w:t>韦斗大道（纬二十路）（经四十路-造字台路）道路工程包含道路、交通、照明等工程。道路工程包含道路红线范围内土方工程（包含管线工程进场后的土方整平、内倒等）、路基工程、路面工程、附属工程及地铁微中心设施；照明工程包含道路红线范围内照明设施、多杆合一设施、路灯基础；交通工程包含道路沿线交通安全设施及交通管理设施设置。</w:t>
      </w:r>
    </w:p>
    <w:p w14:paraId="6B456520">
      <w:pPr>
        <w:pStyle w:val="7"/>
        <w:ind w:firstLine="640"/>
        <w:rPr>
          <w:rFonts w:hint="eastAsia"/>
          <w:sz w:val="24"/>
          <w:szCs w:val="24"/>
        </w:rPr>
      </w:pPr>
      <w:r>
        <w:rPr>
          <w:rFonts w:hint="eastAsia"/>
          <w:sz w:val="24"/>
          <w:szCs w:val="24"/>
        </w:rPr>
        <w:t>（1）道路、交通专业</w:t>
      </w:r>
    </w:p>
    <w:p w14:paraId="000C1C03">
      <w:pPr>
        <w:pStyle w:val="7"/>
        <w:ind w:firstLine="640"/>
        <w:rPr>
          <w:rFonts w:hint="eastAsia"/>
          <w:sz w:val="24"/>
          <w:szCs w:val="24"/>
        </w:rPr>
      </w:pPr>
      <w:r>
        <w:rPr>
          <w:rFonts w:hint="eastAsia"/>
          <w:sz w:val="24"/>
          <w:szCs w:val="24"/>
        </w:rPr>
        <w:t>建设内容为新建韦斗大道（纬二十路）（经四十路-造字台路）道路工程，道路等级为城市主干路，交通专业实施对应的交通标志、交通标线以及视频监控、车流量监测设备等硬件设施，科学配时、智慧管控。</w:t>
      </w:r>
    </w:p>
    <w:p w14:paraId="650183DF">
      <w:pPr>
        <w:pStyle w:val="7"/>
        <w:ind w:firstLine="640"/>
        <w:rPr>
          <w:rFonts w:hint="eastAsia"/>
          <w:sz w:val="24"/>
          <w:szCs w:val="24"/>
        </w:rPr>
      </w:pPr>
      <w:r>
        <w:rPr>
          <w:rFonts w:hint="eastAsia"/>
          <w:sz w:val="24"/>
          <w:szCs w:val="24"/>
        </w:rPr>
        <w:t xml:space="preserve"> (2)照明专业</w:t>
      </w:r>
    </w:p>
    <w:p w14:paraId="0AD17261">
      <w:pPr>
        <w:pStyle w:val="7"/>
        <w:ind w:firstLine="640"/>
        <w:rPr>
          <w:rFonts w:hint="eastAsia"/>
          <w:sz w:val="24"/>
          <w:szCs w:val="24"/>
        </w:rPr>
      </w:pPr>
      <w:r>
        <w:rPr>
          <w:rFonts w:hint="eastAsia"/>
          <w:sz w:val="24"/>
          <w:szCs w:val="24"/>
        </w:rPr>
        <w:t>韦斗大道（纬二十路）道路机动车道两侧分隔带新建双臂路灯，道路交叉口新建三火中杆路灯，LED灯具，用于道路照明；本着“能合则合”的原则，对本工程范围内的交通信号灯、监控摄像机、交通标志、道路照明等设备进行合杆，同时根据与安装设备系统相匹配并留有余量的原则，预留相应的综合管道。</w:t>
      </w:r>
    </w:p>
    <w:p w14:paraId="3BF022AC">
      <w:pPr>
        <w:pStyle w:val="7"/>
        <w:spacing w:line="560" w:lineRule="exact"/>
        <w:jc w:val="left"/>
        <w:rPr>
          <w:rFonts w:hint="eastAsia"/>
          <w:sz w:val="24"/>
          <w:szCs w:val="24"/>
        </w:rPr>
      </w:pPr>
      <w:r>
        <w:rPr>
          <w:rFonts w:hint="eastAsia"/>
          <w:sz w:val="24"/>
          <w:szCs w:val="24"/>
        </w:rPr>
        <w:t>2、工作内容：</w:t>
      </w:r>
    </w:p>
    <w:p w14:paraId="4D71416A">
      <w:pPr>
        <w:pStyle w:val="7"/>
        <w:spacing w:line="560" w:lineRule="exact"/>
        <w:ind w:firstLine="640"/>
        <w:rPr>
          <w:rFonts w:hint="eastAsia"/>
          <w:sz w:val="24"/>
          <w:szCs w:val="24"/>
        </w:rPr>
      </w:pPr>
      <w:bookmarkStart w:id="593" w:name="_Toc17712"/>
      <w:bookmarkStart w:id="594" w:name="_Toc5051"/>
      <w:r>
        <w:rPr>
          <w:rFonts w:hint="eastAsia"/>
          <w:sz w:val="24"/>
          <w:szCs w:val="24"/>
        </w:rPr>
        <w:t>（1）对本项目区域控制性详细规划相关内容进行研究并协助编制规划汇报材料及规划条件申报材料；</w:t>
      </w:r>
    </w:p>
    <w:p w14:paraId="27D6C3E2">
      <w:pPr>
        <w:pStyle w:val="7"/>
        <w:spacing w:line="560" w:lineRule="exact"/>
        <w:ind w:firstLine="640"/>
        <w:rPr>
          <w:rFonts w:hint="eastAsia"/>
          <w:sz w:val="24"/>
          <w:szCs w:val="24"/>
        </w:rPr>
      </w:pPr>
      <w:r>
        <w:rPr>
          <w:rFonts w:hint="eastAsia"/>
          <w:sz w:val="24"/>
          <w:szCs w:val="24"/>
        </w:rPr>
        <w:t>（2）道路、照明、交通工程等专业的施工图设计；</w:t>
      </w:r>
    </w:p>
    <w:p w14:paraId="285E4C97">
      <w:pPr>
        <w:pStyle w:val="7"/>
        <w:spacing w:line="560" w:lineRule="exact"/>
        <w:ind w:firstLine="640"/>
        <w:rPr>
          <w:rFonts w:hint="eastAsia"/>
          <w:sz w:val="24"/>
          <w:szCs w:val="24"/>
        </w:rPr>
      </w:pPr>
      <w:r>
        <w:rPr>
          <w:rFonts w:hint="eastAsia"/>
          <w:sz w:val="24"/>
          <w:szCs w:val="24"/>
        </w:rPr>
        <w:t>（3）交通（包括交通安全设施及交通管理设施）工程以及配套设计；</w:t>
      </w:r>
    </w:p>
    <w:p w14:paraId="56388E06">
      <w:pPr>
        <w:pStyle w:val="7"/>
        <w:spacing w:line="560" w:lineRule="exact"/>
        <w:ind w:firstLine="640"/>
        <w:rPr>
          <w:rFonts w:hint="eastAsia"/>
          <w:sz w:val="24"/>
          <w:szCs w:val="24"/>
        </w:rPr>
      </w:pPr>
      <w:r>
        <w:rPr>
          <w:rFonts w:hint="eastAsia"/>
          <w:sz w:val="24"/>
          <w:szCs w:val="24"/>
        </w:rPr>
        <w:t>（4）相交道路改造设计；</w:t>
      </w:r>
    </w:p>
    <w:p w14:paraId="0202C3C1">
      <w:pPr>
        <w:pStyle w:val="7"/>
        <w:spacing w:line="560" w:lineRule="exact"/>
        <w:ind w:firstLine="640"/>
        <w:rPr>
          <w:rFonts w:hint="eastAsia"/>
          <w:sz w:val="24"/>
          <w:szCs w:val="24"/>
        </w:rPr>
      </w:pPr>
      <w:r>
        <w:rPr>
          <w:rFonts w:hint="eastAsia"/>
          <w:sz w:val="24"/>
          <w:szCs w:val="24"/>
        </w:rPr>
        <w:t>（5）其它甲方要求的内容。</w:t>
      </w:r>
    </w:p>
    <w:p w14:paraId="3EDDE9A9">
      <w:pPr>
        <w:pStyle w:val="7"/>
        <w:spacing w:line="560" w:lineRule="exact"/>
        <w:outlineLvl w:val="0"/>
        <w:rPr>
          <w:rFonts w:hint="eastAsia"/>
          <w:b/>
          <w:bCs/>
          <w:sz w:val="24"/>
          <w:szCs w:val="24"/>
        </w:rPr>
      </w:pPr>
      <w:bookmarkStart w:id="595" w:name="_Toc16447"/>
      <w:r>
        <w:rPr>
          <w:rFonts w:hint="eastAsia"/>
          <w:b/>
          <w:bCs/>
          <w:sz w:val="24"/>
          <w:szCs w:val="24"/>
        </w:rPr>
        <w:t>二、设计依据及标准</w:t>
      </w:r>
      <w:bookmarkEnd w:id="593"/>
      <w:bookmarkEnd w:id="594"/>
      <w:bookmarkEnd w:id="595"/>
    </w:p>
    <w:p w14:paraId="7A406B53">
      <w:pPr>
        <w:pStyle w:val="7"/>
        <w:spacing w:line="560" w:lineRule="exact"/>
        <w:ind w:firstLine="640"/>
        <w:rPr>
          <w:rFonts w:hint="eastAsia"/>
          <w:sz w:val="24"/>
          <w:szCs w:val="24"/>
        </w:rPr>
      </w:pPr>
      <w:r>
        <w:rPr>
          <w:rFonts w:hint="eastAsia"/>
          <w:sz w:val="24"/>
          <w:szCs w:val="24"/>
        </w:rPr>
        <w:t>1、国家有关法律、法规、标准、规范及省、市有关规定；</w:t>
      </w:r>
    </w:p>
    <w:p w14:paraId="75F6738F">
      <w:pPr>
        <w:pStyle w:val="7"/>
        <w:spacing w:line="560" w:lineRule="exact"/>
        <w:ind w:firstLine="640"/>
        <w:rPr>
          <w:rFonts w:hint="eastAsia"/>
          <w:sz w:val="24"/>
          <w:szCs w:val="24"/>
        </w:rPr>
      </w:pPr>
      <w:r>
        <w:rPr>
          <w:rFonts w:hint="eastAsia"/>
          <w:sz w:val="24"/>
          <w:szCs w:val="24"/>
        </w:rPr>
        <w:t>2、建设方提供的设计依据；</w:t>
      </w:r>
    </w:p>
    <w:p w14:paraId="3DB69CB3">
      <w:pPr>
        <w:pStyle w:val="7"/>
        <w:spacing w:line="560" w:lineRule="exact"/>
        <w:ind w:firstLine="640"/>
        <w:rPr>
          <w:rFonts w:hint="eastAsia"/>
          <w:sz w:val="24"/>
          <w:szCs w:val="24"/>
        </w:rPr>
      </w:pPr>
      <w:r>
        <w:rPr>
          <w:rFonts w:hint="eastAsia"/>
          <w:sz w:val="24"/>
          <w:szCs w:val="24"/>
        </w:rPr>
        <w:t>3、政府各主管部门规划审批文件；</w:t>
      </w:r>
    </w:p>
    <w:p w14:paraId="3A774525">
      <w:pPr>
        <w:pStyle w:val="7"/>
        <w:spacing w:line="560" w:lineRule="exact"/>
        <w:ind w:firstLine="640"/>
        <w:rPr>
          <w:rFonts w:hint="eastAsia"/>
          <w:sz w:val="24"/>
          <w:szCs w:val="24"/>
        </w:rPr>
      </w:pPr>
      <w:r>
        <w:rPr>
          <w:rFonts w:hint="eastAsia"/>
          <w:sz w:val="24"/>
          <w:szCs w:val="24"/>
        </w:rPr>
        <w:t>4、西安市自然资源和规划局高新分局提供的《韦斗大道（纬二十路）（经四十路～造字台路）市政工程》的规划条件书；</w:t>
      </w:r>
    </w:p>
    <w:p w14:paraId="59C97C67">
      <w:pPr>
        <w:pStyle w:val="7"/>
        <w:spacing w:line="560" w:lineRule="exact"/>
        <w:ind w:firstLine="640"/>
        <w:rPr>
          <w:rFonts w:hint="eastAsia"/>
          <w:sz w:val="24"/>
          <w:szCs w:val="24"/>
        </w:rPr>
      </w:pPr>
      <w:r>
        <w:rPr>
          <w:rFonts w:hint="eastAsia"/>
          <w:sz w:val="24"/>
          <w:szCs w:val="24"/>
        </w:rPr>
        <w:t>5、《韦斗大道（纬二十路）（经四十路～造字台路）市政工程》的地勘报告及现状管线勘察报告；</w:t>
      </w:r>
    </w:p>
    <w:p w14:paraId="5421C3F6">
      <w:pPr>
        <w:pStyle w:val="7"/>
        <w:spacing w:line="560" w:lineRule="exact"/>
        <w:ind w:firstLine="640"/>
        <w:rPr>
          <w:rFonts w:hint="eastAsia"/>
          <w:sz w:val="24"/>
          <w:szCs w:val="24"/>
        </w:rPr>
      </w:pPr>
      <w:r>
        <w:rPr>
          <w:rFonts w:hint="eastAsia"/>
          <w:sz w:val="24"/>
          <w:szCs w:val="24"/>
        </w:rPr>
        <w:t>6、《西安高新区市政道路（含道路绿化）设计导则》（西安高新区管委会，2020年9月）；</w:t>
      </w:r>
    </w:p>
    <w:p w14:paraId="6265DE7C">
      <w:pPr>
        <w:pStyle w:val="7"/>
        <w:spacing w:line="560" w:lineRule="exact"/>
        <w:ind w:firstLine="640"/>
        <w:rPr>
          <w:rFonts w:hint="eastAsia"/>
          <w:sz w:val="24"/>
          <w:szCs w:val="24"/>
        </w:rPr>
      </w:pPr>
      <w:r>
        <w:rPr>
          <w:rFonts w:hint="eastAsia"/>
          <w:sz w:val="24"/>
          <w:szCs w:val="24"/>
        </w:rPr>
        <w:t>7、《西安高新区城市道路工程实施导则》（西安高新区管委会，2023年12月）；</w:t>
      </w:r>
    </w:p>
    <w:p w14:paraId="3B2DF692">
      <w:pPr>
        <w:pStyle w:val="7"/>
        <w:spacing w:line="560" w:lineRule="exact"/>
        <w:ind w:firstLine="640"/>
        <w:rPr>
          <w:rFonts w:hint="eastAsia"/>
          <w:sz w:val="24"/>
          <w:szCs w:val="24"/>
        </w:rPr>
      </w:pPr>
      <w:r>
        <w:rPr>
          <w:rFonts w:hint="eastAsia"/>
          <w:sz w:val="24"/>
          <w:szCs w:val="24"/>
        </w:rPr>
        <w:t>8、《西安市实施国家节水行动及黄河流域深度节水控水行动2023年工作方案》；</w:t>
      </w:r>
    </w:p>
    <w:p w14:paraId="286BF61D">
      <w:pPr>
        <w:pStyle w:val="7"/>
        <w:spacing w:line="560" w:lineRule="exact"/>
        <w:ind w:firstLine="640"/>
        <w:rPr>
          <w:rFonts w:hint="eastAsia"/>
          <w:sz w:val="24"/>
          <w:szCs w:val="24"/>
        </w:rPr>
      </w:pPr>
      <w:r>
        <w:rPr>
          <w:rFonts w:hint="eastAsia"/>
          <w:sz w:val="24"/>
          <w:szCs w:val="24"/>
        </w:rPr>
        <w:t>9、《西安高新技术产业开发区基本建设项目管理办法（试行）》（西安高新区管委会办公室，2020.07.03）；</w:t>
      </w:r>
    </w:p>
    <w:p w14:paraId="10B66795">
      <w:pPr>
        <w:pStyle w:val="7"/>
        <w:spacing w:line="560" w:lineRule="exact"/>
        <w:ind w:firstLine="640"/>
        <w:rPr>
          <w:rFonts w:hint="eastAsia"/>
          <w:sz w:val="24"/>
          <w:szCs w:val="24"/>
        </w:rPr>
      </w:pPr>
      <w:r>
        <w:rPr>
          <w:rFonts w:hint="eastAsia"/>
          <w:sz w:val="24"/>
          <w:szCs w:val="24"/>
        </w:rPr>
        <w:t>10、《市政公用工程设计文件编制深度规定（2013年版）》；</w:t>
      </w:r>
    </w:p>
    <w:p w14:paraId="3F8629A5">
      <w:pPr>
        <w:pStyle w:val="7"/>
        <w:spacing w:line="560" w:lineRule="exact"/>
        <w:ind w:firstLine="640"/>
        <w:rPr>
          <w:rFonts w:hint="eastAsia"/>
          <w:sz w:val="24"/>
          <w:szCs w:val="24"/>
        </w:rPr>
      </w:pPr>
      <w:r>
        <w:rPr>
          <w:rFonts w:hint="eastAsia"/>
          <w:sz w:val="24"/>
          <w:szCs w:val="24"/>
        </w:rPr>
        <w:t>11、建设方的设计标准、审核意见及其他设计要求。</w:t>
      </w:r>
    </w:p>
    <w:p w14:paraId="6DF9C42A">
      <w:pPr>
        <w:pStyle w:val="7"/>
        <w:spacing w:line="560" w:lineRule="exact"/>
        <w:outlineLvl w:val="0"/>
        <w:rPr>
          <w:rFonts w:hint="eastAsia"/>
          <w:b/>
          <w:bCs/>
          <w:sz w:val="24"/>
          <w:szCs w:val="24"/>
        </w:rPr>
      </w:pPr>
      <w:bookmarkStart w:id="596" w:name="_Toc1871"/>
      <w:bookmarkStart w:id="597" w:name="_Toc18444"/>
      <w:bookmarkStart w:id="598" w:name="_Toc16588"/>
      <w:r>
        <w:rPr>
          <w:rFonts w:hint="eastAsia"/>
          <w:b/>
          <w:bCs/>
          <w:sz w:val="24"/>
          <w:szCs w:val="24"/>
        </w:rPr>
        <w:t>三、设计要求及</w:t>
      </w:r>
      <w:bookmarkEnd w:id="596"/>
      <w:r>
        <w:rPr>
          <w:rFonts w:hint="eastAsia"/>
          <w:b/>
          <w:bCs/>
          <w:sz w:val="24"/>
          <w:szCs w:val="24"/>
        </w:rPr>
        <w:t>内容</w:t>
      </w:r>
      <w:bookmarkEnd w:id="597"/>
      <w:bookmarkEnd w:id="598"/>
    </w:p>
    <w:p w14:paraId="549EBA6E">
      <w:pPr>
        <w:pStyle w:val="7"/>
        <w:spacing w:line="560" w:lineRule="exact"/>
        <w:ind w:firstLine="640"/>
        <w:rPr>
          <w:rFonts w:hint="eastAsia"/>
          <w:sz w:val="24"/>
          <w:szCs w:val="24"/>
        </w:rPr>
      </w:pPr>
      <w:r>
        <w:rPr>
          <w:rFonts w:hint="eastAsia"/>
          <w:sz w:val="24"/>
          <w:szCs w:val="24"/>
        </w:rPr>
        <w:t>韦斗大道（纬二十路）（经四十路-造字台路）道路工程以总体规划、总平面图、区域路网总平图、规划道路横断面，整体考量、技术经济综合比较、详细设计为原则，除满足规范标准、绿色环保、设计要求、国家设计及出图深度规定等要求外，还应符合以下设计要求：</w:t>
      </w:r>
    </w:p>
    <w:p w14:paraId="04ABBD28">
      <w:pPr>
        <w:pStyle w:val="7"/>
        <w:spacing w:line="560" w:lineRule="exact"/>
        <w:jc w:val="left"/>
        <w:rPr>
          <w:rFonts w:hint="eastAsia"/>
          <w:sz w:val="24"/>
          <w:szCs w:val="24"/>
        </w:rPr>
      </w:pPr>
      <w:r>
        <w:rPr>
          <w:rFonts w:hint="eastAsia"/>
          <w:sz w:val="24"/>
          <w:szCs w:val="24"/>
        </w:rPr>
        <w:t>1、道路工程</w:t>
      </w:r>
    </w:p>
    <w:p w14:paraId="7A5345D0">
      <w:pPr>
        <w:pStyle w:val="7"/>
        <w:spacing w:line="560" w:lineRule="exact"/>
        <w:ind w:firstLine="640"/>
        <w:rPr>
          <w:rFonts w:hint="eastAsia"/>
          <w:sz w:val="24"/>
          <w:szCs w:val="24"/>
        </w:rPr>
      </w:pPr>
      <w:r>
        <w:rPr>
          <w:rFonts w:hint="eastAsia"/>
          <w:sz w:val="24"/>
          <w:szCs w:val="24"/>
        </w:rPr>
        <w:t>（1）设计要求</w:t>
      </w:r>
    </w:p>
    <w:p w14:paraId="68C4AABA">
      <w:pPr>
        <w:pStyle w:val="7"/>
        <w:spacing w:line="560" w:lineRule="exact"/>
        <w:ind w:firstLine="640"/>
        <w:rPr>
          <w:rFonts w:hint="eastAsia"/>
          <w:sz w:val="24"/>
          <w:szCs w:val="24"/>
        </w:rPr>
      </w:pPr>
      <w:r>
        <w:rPr>
          <w:rFonts w:hint="eastAsia"/>
          <w:sz w:val="24"/>
          <w:szCs w:val="24"/>
        </w:rPr>
        <w:t>本项目各设计阶段文件均需执行中华人民共和国现行建设行业设计规范、规定、规程、条例、标准。</w:t>
      </w:r>
    </w:p>
    <w:p w14:paraId="50A38AE8">
      <w:pPr>
        <w:pStyle w:val="7"/>
        <w:spacing w:line="560" w:lineRule="exact"/>
        <w:ind w:firstLine="640"/>
        <w:rPr>
          <w:rFonts w:hint="eastAsia"/>
          <w:sz w:val="24"/>
          <w:szCs w:val="24"/>
        </w:rPr>
      </w:pPr>
      <w:r>
        <w:rPr>
          <w:rFonts w:hint="eastAsia"/>
          <w:sz w:val="24"/>
          <w:szCs w:val="24"/>
        </w:rPr>
        <w:t>设计符合城市总体规划及相关控制性详细规划要求。</w:t>
      </w:r>
    </w:p>
    <w:p w14:paraId="105A30CC">
      <w:pPr>
        <w:pStyle w:val="7"/>
        <w:spacing w:line="560" w:lineRule="exact"/>
        <w:ind w:firstLine="640"/>
        <w:rPr>
          <w:rFonts w:hint="eastAsia"/>
          <w:sz w:val="24"/>
          <w:szCs w:val="24"/>
        </w:rPr>
      </w:pPr>
      <w:r>
        <w:rPr>
          <w:rFonts w:hint="eastAsia"/>
          <w:sz w:val="24"/>
          <w:szCs w:val="24"/>
        </w:rPr>
        <w:t>图纸编制需符合中华人民共和国建设部《市政公用工程 设计文件编制深度规定（2025年版）》。</w:t>
      </w:r>
    </w:p>
    <w:p w14:paraId="4BA85A80">
      <w:pPr>
        <w:pStyle w:val="7"/>
        <w:spacing w:line="560" w:lineRule="exact"/>
        <w:ind w:firstLine="640"/>
        <w:rPr>
          <w:rFonts w:hint="eastAsia"/>
          <w:sz w:val="24"/>
          <w:szCs w:val="24"/>
        </w:rPr>
      </w:pPr>
      <w:r>
        <w:rPr>
          <w:rFonts w:hint="eastAsia"/>
          <w:sz w:val="24"/>
          <w:szCs w:val="24"/>
        </w:rPr>
        <w:t>应了解本地项目特点，设计文件应符合行业及地方通用标准和惯例。在尊重现状建设条件和城市规划等所确定的城市空间结构、土地利用方式、道路交通组织的前提下，根据规划整体构思对项目的道路工程进行设计，明确工程规模和技术标准，按综合技术经济的合理性来确定设计思路。对道路平面及纵横断面进行优化设计、标段内所有土方考虑土方平衡。</w:t>
      </w:r>
    </w:p>
    <w:p w14:paraId="1FF4F971">
      <w:pPr>
        <w:pStyle w:val="7"/>
        <w:spacing w:line="560" w:lineRule="exact"/>
        <w:ind w:firstLine="640"/>
        <w:rPr>
          <w:rFonts w:hint="eastAsia"/>
          <w:sz w:val="24"/>
          <w:szCs w:val="24"/>
        </w:rPr>
      </w:pPr>
      <w:r>
        <w:rPr>
          <w:rFonts w:hint="eastAsia"/>
          <w:sz w:val="24"/>
          <w:szCs w:val="24"/>
        </w:rPr>
        <w:t>（2）设计内容（</w:t>
      </w:r>
      <w:r>
        <w:rPr>
          <w:rFonts w:hint="eastAsia"/>
          <w:w w:val="95"/>
          <w:sz w:val="24"/>
          <w:szCs w:val="24"/>
        </w:rPr>
        <w:t>包括但不限于以下内容</w:t>
      </w:r>
      <w:r>
        <w:rPr>
          <w:rFonts w:hint="eastAsia"/>
          <w:sz w:val="24"/>
          <w:szCs w:val="24"/>
        </w:rPr>
        <w:t>）</w:t>
      </w:r>
      <w:r>
        <w:rPr>
          <w:rFonts w:hint="eastAsia"/>
          <w:w w:val="95"/>
          <w:sz w:val="24"/>
          <w:szCs w:val="24"/>
        </w:rPr>
        <w:t>：</w:t>
      </w:r>
    </w:p>
    <w:p w14:paraId="781DC0F9">
      <w:pPr>
        <w:pStyle w:val="7"/>
        <w:spacing w:line="560" w:lineRule="exact"/>
        <w:ind w:firstLine="640"/>
        <w:rPr>
          <w:rFonts w:hint="eastAsia"/>
          <w:sz w:val="24"/>
          <w:szCs w:val="24"/>
        </w:rPr>
      </w:pPr>
      <w:r>
        <w:rPr>
          <w:rFonts w:hint="eastAsia"/>
          <w:sz w:val="24"/>
          <w:szCs w:val="24"/>
        </w:rPr>
        <w:t>1）说明书</w:t>
      </w:r>
    </w:p>
    <w:p w14:paraId="231C5346">
      <w:pPr>
        <w:pStyle w:val="7"/>
        <w:spacing w:line="560" w:lineRule="exact"/>
        <w:ind w:firstLine="640"/>
        <w:rPr>
          <w:rFonts w:hint="eastAsia"/>
          <w:sz w:val="24"/>
          <w:szCs w:val="24"/>
        </w:rPr>
      </w:pPr>
      <w:r>
        <w:rPr>
          <w:rFonts w:hint="eastAsia"/>
          <w:sz w:val="24"/>
          <w:szCs w:val="24"/>
        </w:rPr>
        <w:t>2）工程地理位置图</w:t>
      </w:r>
    </w:p>
    <w:p w14:paraId="6DDE05DC">
      <w:pPr>
        <w:pStyle w:val="7"/>
        <w:spacing w:line="560" w:lineRule="exact"/>
        <w:ind w:firstLine="640"/>
        <w:rPr>
          <w:rFonts w:hint="eastAsia"/>
          <w:sz w:val="24"/>
          <w:szCs w:val="24"/>
        </w:rPr>
      </w:pPr>
      <w:r>
        <w:rPr>
          <w:rFonts w:hint="eastAsia"/>
          <w:sz w:val="24"/>
          <w:szCs w:val="24"/>
          <w:lang w:val="en-US"/>
        </w:rPr>
        <w:t>3</w:t>
      </w:r>
      <w:r>
        <w:rPr>
          <w:rFonts w:hint="eastAsia"/>
          <w:sz w:val="24"/>
          <w:szCs w:val="24"/>
        </w:rPr>
        <w:t>）道路平面设计图</w:t>
      </w:r>
    </w:p>
    <w:p w14:paraId="01A8CA5A">
      <w:pPr>
        <w:pStyle w:val="7"/>
        <w:spacing w:line="560" w:lineRule="exact"/>
        <w:ind w:firstLine="640"/>
        <w:rPr>
          <w:rFonts w:hint="eastAsia"/>
          <w:sz w:val="24"/>
          <w:szCs w:val="24"/>
        </w:rPr>
      </w:pPr>
      <w:r>
        <w:rPr>
          <w:rFonts w:hint="eastAsia"/>
          <w:sz w:val="24"/>
          <w:szCs w:val="24"/>
          <w:lang w:val="en-US"/>
        </w:rPr>
        <w:t>4</w:t>
      </w:r>
      <w:r>
        <w:rPr>
          <w:rFonts w:hint="eastAsia"/>
          <w:sz w:val="24"/>
          <w:szCs w:val="24"/>
        </w:rPr>
        <w:t>）道路纵断面设计图</w:t>
      </w:r>
    </w:p>
    <w:p w14:paraId="71D3DAE6">
      <w:pPr>
        <w:pStyle w:val="7"/>
        <w:spacing w:line="560" w:lineRule="exact"/>
        <w:ind w:firstLine="640"/>
        <w:rPr>
          <w:rFonts w:hint="eastAsia"/>
          <w:sz w:val="24"/>
          <w:szCs w:val="24"/>
        </w:rPr>
      </w:pPr>
      <w:r>
        <w:rPr>
          <w:rFonts w:hint="eastAsia"/>
          <w:sz w:val="24"/>
          <w:szCs w:val="24"/>
          <w:lang w:val="en-US"/>
        </w:rPr>
        <w:t>5</w:t>
      </w:r>
      <w:r>
        <w:rPr>
          <w:rFonts w:hint="eastAsia"/>
          <w:sz w:val="24"/>
          <w:szCs w:val="24"/>
        </w:rPr>
        <w:t>）道路横断面设计图</w:t>
      </w:r>
    </w:p>
    <w:p w14:paraId="0239A9EA">
      <w:pPr>
        <w:pStyle w:val="7"/>
        <w:spacing w:line="560" w:lineRule="exact"/>
        <w:ind w:firstLine="640"/>
        <w:rPr>
          <w:rFonts w:hint="eastAsia"/>
          <w:sz w:val="24"/>
          <w:szCs w:val="24"/>
        </w:rPr>
      </w:pPr>
      <w:r>
        <w:rPr>
          <w:rFonts w:hint="eastAsia"/>
          <w:sz w:val="24"/>
          <w:szCs w:val="24"/>
          <w:lang w:val="en-US"/>
        </w:rPr>
        <w:t>6</w:t>
      </w:r>
      <w:r>
        <w:rPr>
          <w:rFonts w:hint="eastAsia"/>
          <w:sz w:val="24"/>
          <w:szCs w:val="24"/>
        </w:rPr>
        <w:t>）纵坡、竖曲线表</w:t>
      </w:r>
    </w:p>
    <w:p w14:paraId="669F1652">
      <w:pPr>
        <w:pStyle w:val="7"/>
        <w:spacing w:line="560" w:lineRule="exact"/>
        <w:ind w:firstLine="640"/>
        <w:rPr>
          <w:rFonts w:hint="eastAsia"/>
          <w:sz w:val="24"/>
          <w:szCs w:val="24"/>
        </w:rPr>
      </w:pPr>
      <w:r>
        <w:rPr>
          <w:rFonts w:hint="eastAsia"/>
          <w:sz w:val="24"/>
          <w:szCs w:val="24"/>
          <w:lang w:val="en-US"/>
        </w:rPr>
        <w:t>7</w:t>
      </w:r>
      <w:r>
        <w:rPr>
          <w:rFonts w:hint="eastAsia"/>
          <w:sz w:val="24"/>
          <w:szCs w:val="24"/>
        </w:rPr>
        <w:t>）一般路基设计图</w:t>
      </w:r>
    </w:p>
    <w:p w14:paraId="0039BD6E">
      <w:pPr>
        <w:pStyle w:val="7"/>
        <w:spacing w:line="560" w:lineRule="exact"/>
        <w:ind w:firstLine="640"/>
        <w:rPr>
          <w:rFonts w:hint="eastAsia"/>
          <w:sz w:val="24"/>
          <w:szCs w:val="24"/>
        </w:rPr>
      </w:pPr>
      <w:r>
        <w:rPr>
          <w:rFonts w:hint="eastAsia"/>
          <w:sz w:val="24"/>
          <w:szCs w:val="24"/>
          <w:lang w:val="en-US"/>
        </w:rPr>
        <w:t>8</w:t>
      </w:r>
      <w:r>
        <w:rPr>
          <w:rFonts w:hint="eastAsia"/>
          <w:sz w:val="24"/>
          <w:szCs w:val="24"/>
        </w:rPr>
        <w:t>）路面结构设计图</w:t>
      </w:r>
    </w:p>
    <w:p w14:paraId="464EF660">
      <w:pPr>
        <w:pStyle w:val="7"/>
        <w:spacing w:line="560" w:lineRule="exact"/>
        <w:ind w:firstLine="640"/>
        <w:rPr>
          <w:rFonts w:hint="eastAsia"/>
          <w:sz w:val="24"/>
          <w:szCs w:val="24"/>
        </w:rPr>
      </w:pPr>
      <w:r>
        <w:rPr>
          <w:rFonts w:hint="eastAsia"/>
          <w:sz w:val="24"/>
          <w:szCs w:val="24"/>
          <w:lang w:val="en-US"/>
        </w:rPr>
        <w:t>9</w:t>
      </w:r>
      <w:r>
        <w:rPr>
          <w:rFonts w:hint="eastAsia"/>
          <w:sz w:val="24"/>
          <w:szCs w:val="24"/>
        </w:rPr>
        <w:t>）人行道铺砌样式图</w:t>
      </w:r>
    </w:p>
    <w:p w14:paraId="3A5C66A4">
      <w:pPr>
        <w:pStyle w:val="7"/>
        <w:spacing w:line="560" w:lineRule="exact"/>
        <w:ind w:firstLine="640"/>
        <w:rPr>
          <w:rFonts w:hint="eastAsia"/>
          <w:sz w:val="24"/>
          <w:szCs w:val="24"/>
        </w:rPr>
      </w:pPr>
      <w:r>
        <w:rPr>
          <w:rFonts w:hint="eastAsia"/>
          <w:sz w:val="24"/>
          <w:szCs w:val="24"/>
        </w:rPr>
        <w:t>1</w:t>
      </w:r>
      <w:r>
        <w:rPr>
          <w:rFonts w:hint="eastAsia"/>
          <w:sz w:val="24"/>
          <w:szCs w:val="24"/>
          <w:lang w:val="en-US"/>
        </w:rPr>
        <w:t>0</w:t>
      </w:r>
      <w:r>
        <w:rPr>
          <w:rFonts w:hint="eastAsia"/>
          <w:sz w:val="24"/>
          <w:szCs w:val="24"/>
        </w:rPr>
        <w:t>）道路无障碍设计图</w:t>
      </w:r>
    </w:p>
    <w:p w14:paraId="2856CD9D">
      <w:pPr>
        <w:pStyle w:val="7"/>
        <w:spacing w:line="560" w:lineRule="exact"/>
        <w:ind w:firstLine="640"/>
        <w:rPr>
          <w:rFonts w:hint="eastAsia"/>
          <w:sz w:val="24"/>
          <w:szCs w:val="24"/>
        </w:rPr>
      </w:pPr>
      <w:r>
        <w:rPr>
          <w:rFonts w:hint="eastAsia"/>
          <w:sz w:val="24"/>
          <w:szCs w:val="24"/>
        </w:rPr>
        <w:t>1</w:t>
      </w:r>
      <w:r>
        <w:rPr>
          <w:rFonts w:hint="eastAsia"/>
          <w:sz w:val="24"/>
          <w:szCs w:val="24"/>
          <w:lang w:val="en-US"/>
        </w:rPr>
        <w:t>1</w:t>
      </w:r>
      <w:r>
        <w:rPr>
          <w:rFonts w:hint="eastAsia"/>
          <w:sz w:val="24"/>
          <w:szCs w:val="24"/>
        </w:rPr>
        <w:t>）公交停靠站设计图</w:t>
      </w:r>
    </w:p>
    <w:p w14:paraId="78232E7F">
      <w:pPr>
        <w:pStyle w:val="7"/>
        <w:spacing w:line="560" w:lineRule="exact"/>
        <w:ind w:firstLine="640"/>
        <w:rPr>
          <w:rFonts w:hint="eastAsia"/>
          <w:sz w:val="24"/>
          <w:szCs w:val="24"/>
        </w:rPr>
      </w:pPr>
      <w:r>
        <w:rPr>
          <w:rFonts w:hint="eastAsia"/>
          <w:sz w:val="24"/>
          <w:szCs w:val="24"/>
        </w:rPr>
        <w:t>1</w:t>
      </w:r>
      <w:r>
        <w:rPr>
          <w:rFonts w:hint="eastAsia"/>
          <w:sz w:val="24"/>
          <w:szCs w:val="24"/>
          <w:lang w:val="en-US"/>
        </w:rPr>
        <w:t>2</w:t>
      </w:r>
      <w:r>
        <w:rPr>
          <w:rFonts w:hint="eastAsia"/>
          <w:sz w:val="24"/>
          <w:szCs w:val="24"/>
        </w:rPr>
        <w:t>）交叉口竖向设计图</w:t>
      </w:r>
    </w:p>
    <w:p w14:paraId="659B638B">
      <w:pPr>
        <w:pStyle w:val="7"/>
        <w:spacing w:line="560" w:lineRule="exact"/>
        <w:ind w:firstLine="640"/>
        <w:rPr>
          <w:rFonts w:hint="eastAsia"/>
          <w:sz w:val="24"/>
          <w:szCs w:val="24"/>
        </w:rPr>
      </w:pPr>
      <w:r>
        <w:rPr>
          <w:rFonts w:hint="eastAsia"/>
          <w:sz w:val="24"/>
          <w:szCs w:val="24"/>
        </w:rPr>
        <w:t>1</w:t>
      </w:r>
      <w:r>
        <w:rPr>
          <w:rFonts w:hint="eastAsia"/>
          <w:sz w:val="24"/>
          <w:szCs w:val="24"/>
          <w:lang w:val="en-US"/>
        </w:rPr>
        <w:t>3</w:t>
      </w:r>
      <w:r>
        <w:rPr>
          <w:rFonts w:hint="eastAsia"/>
          <w:sz w:val="24"/>
          <w:szCs w:val="24"/>
        </w:rPr>
        <w:t>）道路用地图</w:t>
      </w:r>
    </w:p>
    <w:p w14:paraId="74293A56">
      <w:pPr>
        <w:pStyle w:val="7"/>
        <w:spacing w:line="560" w:lineRule="exact"/>
        <w:ind w:firstLine="640"/>
        <w:rPr>
          <w:rFonts w:hint="eastAsia"/>
          <w:sz w:val="24"/>
          <w:szCs w:val="24"/>
        </w:rPr>
      </w:pPr>
      <w:r>
        <w:rPr>
          <w:rFonts w:hint="eastAsia"/>
          <w:sz w:val="24"/>
          <w:szCs w:val="24"/>
        </w:rPr>
        <w:t>1</w:t>
      </w:r>
      <w:r>
        <w:rPr>
          <w:rFonts w:hint="eastAsia"/>
          <w:sz w:val="24"/>
          <w:szCs w:val="24"/>
          <w:lang w:val="en-US"/>
        </w:rPr>
        <w:t>4</w:t>
      </w:r>
      <w:r>
        <w:rPr>
          <w:rFonts w:hint="eastAsia"/>
          <w:sz w:val="24"/>
          <w:szCs w:val="24"/>
        </w:rPr>
        <w:t>）相关数量表</w:t>
      </w:r>
    </w:p>
    <w:p w14:paraId="56D36EAA">
      <w:pPr>
        <w:pStyle w:val="7"/>
        <w:spacing w:line="560" w:lineRule="exact"/>
        <w:jc w:val="left"/>
        <w:rPr>
          <w:rFonts w:hint="eastAsia"/>
          <w:sz w:val="24"/>
          <w:szCs w:val="24"/>
        </w:rPr>
      </w:pPr>
      <w:r>
        <w:rPr>
          <w:rFonts w:hint="eastAsia"/>
          <w:sz w:val="24"/>
          <w:szCs w:val="24"/>
        </w:rPr>
        <w:t>2、道路照明</w:t>
      </w:r>
    </w:p>
    <w:p w14:paraId="16841419">
      <w:pPr>
        <w:pStyle w:val="7"/>
        <w:spacing w:line="560" w:lineRule="exact"/>
        <w:ind w:firstLine="640"/>
        <w:jc w:val="left"/>
        <w:rPr>
          <w:rFonts w:hint="eastAsia"/>
          <w:sz w:val="24"/>
          <w:szCs w:val="24"/>
        </w:rPr>
      </w:pPr>
      <w:r>
        <w:rPr>
          <w:rFonts w:hint="eastAsia"/>
          <w:sz w:val="24"/>
          <w:szCs w:val="24"/>
        </w:rPr>
        <w:t>（1）设计要求</w:t>
      </w:r>
    </w:p>
    <w:p w14:paraId="17EC2807">
      <w:pPr>
        <w:pStyle w:val="7"/>
        <w:spacing w:line="560" w:lineRule="exact"/>
        <w:ind w:firstLine="613"/>
        <w:rPr>
          <w:rFonts w:hint="eastAsia" w:ascii="宋体" w:hAnsi="宋体" w:eastAsia="宋体" w:cs="宋体"/>
          <w:sz w:val="24"/>
          <w:szCs w:val="24"/>
        </w:rPr>
      </w:pPr>
      <w:r>
        <w:rPr>
          <w:rFonts w:hint="eastAsia" w:ascii="宋体" w:hAnsi="宋体" w:eastAsia="宋体" w:cs="宋体"/>
          <w:spacing w:val="4"/>
          <w:w w:val="95"/>
          <w:sz w:val="24"/>
          <w:szCs w:val="24"/>
        </w:rPr>
        <w:t>1）</w:t>
      </w:r>
      <w:r>
        <w:rPr>
          <w:rFonts w:hint="eastAsia" w:ascii="宋体" w:hAnsi="宋体" w:eastAsia="宋体" w:cs="宋体"/>
          <w:w w:val="100"/>
          <w:sz w:val="24"/>
          <w:szCs w:val="24"/>
        </w:rPr>
        <w:t>沿道路设置市政道路照明。道路照明技术指标符合相关</w:t>
      </w:r>
      <w:r>
        <w:rPr>
          <w:rFonts w:hint="eastAsia" w:ascii="宋体" w:hAnsi="宋体" w:eastAsia="宋体" w:cs="宋体"/>
          <w:sz w:val="24"/>
          <w:szCs w:val="24"/>
        </w:rPr>
        <w:t>国家及行业标准要求。电气专业负责道路照明配电及控制。</w:t>
      </w:r>
    </w:p>
    <w:p w14:paraId="55F1708E">
      <w:pPr>
        <w:pStyle w:val="7"/>
        <w:spacing w:line="560" w:lineRule="exact"/>
        <w:ind w:firstLine="613"/>
        <w:rPr>
          <w:rFonts w:hint="eastAsia" w:ascii="宋体" w:hAnsi="宋体" w:eastAsia="宋体" w:cs="宋体"/>
          <w:w w:val="100"/>
          <w:sz w:val="24"/>
          <w:szCs w:val="24"/>
        </w:rPr>
      </w:pPr>
      <w:r>
        <w:rPr>
          <w:rFonts w:hint="eastAsia" w:ascii="宋体" w:hAnsi="宋体" w:eastAsia="宋体" w:cs="宋体"/>
          <w:spacing w:val="4"/>
          <w:w w:val="95"/>
          <w:sz w:val="24"/>
          <w:szCs w:val="24"/>
        </w:rPr>
        <w:t>2）</w:t>
      </w:r>
      <w:r>
        <w:rPr>
          <w:rFonts w:hint="eastAsia" w:ascii="宋体" w:hAnsi="宋体" w:eastAsia="宋体" w:cs="宋体"/>
          <w:w w:val="100"/>
          <w:sz w:val="24"/>
          <w:szCs w:val="24"/>
        </w:rPr>
        <w:t>灯具选型应满足使用环境需求，与景观专业紧密结合；灯具选型应优先选用节能型灯具，不同情景的控制方式配合</w:t>
      </w:r>
      <w:r>
        <w:rPr>
          <w:rFonts w:hint="eastAsia" w:ascii="宋体" w:hAnsi="宋体" w:eastAsia="宋体" w:cs="宋体"/>
          <w:spacing w:val="11"/>
          <w:w w:val="100"/>
          <w:sz w:val="24"/>
          <w:szCs w:val="24"/>
        </w:rPr>
        <w:t>区域市政夜景效果以及绿建节能等相关单位的要求进行设计。</w:t>
      </w:r>
    </w:p>
    <w:p w14:paraId="0FB1FB86">
      <w:pPr>
        <w:pStyle w:val="7"/>
        <w:spacing w:line="560" w:lineRule="exact"/>
        <w:ind w:firstLine="613"/>
        <w:rPr>
          <w:rFonts w:hint="eastAsia" w:ascii="宋体" w:hAnsi="宋体" w:eastAsia="宋体" w:cs="宋体"/>
          <w:w w:val="100"/>
          <w:sz w:val="24"/>
          <w:szCs w:val="24"/>
        </w:rPr>
      </w:pPr>
      <w:r>
        <w:rPr>
          <w:rFonts w:hint="eastAsia" w:ascii="宋体" w:hAnsi="宋体" w:eastAsia="宋体" w:cs="宋体"/>
          <w:spacing w:val="4"/>
          <w:w w:val="100"/>
          <w:sz w:val="24"/>
          <w:szCs w:val="24"/>
        </w:rPr>
        <w:t>3）</w:t>
      </w:r>
      <w:r>
        <w:rPr>
          <w:rFonts w:hint="eastAsia" w:ascii="宋体" w:hAnsi="宋体" w:eastAsia="宋体" w:cs="宋体"/>
          <w:w w:val="100"/>
          <w:sz w:val="24"/>
          <w:szCs w:val="24"/>
        </w:rPr>
        <w:t>照明系统管线埋地敷设应充分考虑与其他管线的交叉配合。</w:t>
      </w:r>
    </w:p>
    <w:p w14:paraId="6660DADA">
      <w:pPr>
        <w:pStyle w:val="7"/>
        <w:spacing w:line="560" w:lineRule="exact"/>
        <w:ind w:firstLine="640"/>
        <w:rPr>
          <w:rFonts w:hint="eastAsia" w:ascii="宋体" w:hAnsi="宋体" w:eastAsia="宋体" w:cs="宋体"/>
          <w:w w:val="100"/>
          <w:sz w:val="24"/>
          <w:szCs w:val="24"/>
        </w:rPr>
      </w:pPr>
      <w:r>
        <w:rPr>
          <w:rFonts w:hint="eastAsia" w:ascii="宋体" w:hAnsi="宋体" w:eastAsia="宋体" w:cs="宋体"/>
          <w:w w:val="100"/>
          <w:sz w:val="24"/>
          <w:szCs w:val="24"/>
        </w:rPr>
        <w:t>（2）设计内容（包括但不限于以下内容）：</w:t>
      </w:r>
    </w:p>
    <w:p w14:paraId="61734482">
      <w:pPr>
        <w:pStyle w:val="7"/>
        <w:spacing w:line="560" w:lineRule="exact"/>
        <w:ind w:firstLine="613"/>
        <w:rPr>
          <w:rFonts w:hint="eastAsia"/>
          <w:sz w:val="24"/>
          <w:szCs w:val="24"/>
        </w:rPr>
      </w:pPr>
      <w:r>
        <w:rPr>
          <w:rFonts w:hint="eastAsia" w:ascii="宋体" w:hAnsi="宋体" w:eastAsia="宋体" w:cs="宋体"/>
          <w:spacing w:val="4"/>
          <w:w w:val="100"/>
          <w:sz w:val="24"/>
          <w:szCs w:val="24"/>
        </w:rPr>
        <w:t>1）</w:t>
      </w:r>
      <w:r>
        <w:rPr>
          <w:rFonts w:hint="eastAsia" w:ascii="宋体" w:hAnsi="宋体" w:eastAsia="宋体" w:cs="宋体"/>
          <w:w w:val="100"/>
          <w:sz w:val="24"/>
          <w:szCs w:val="24"/>
        </w:rPr>
        <w:t>照明平面布置总图。标明规划区内各道路照明系统的供电</w:t>
      </w:r>
      <w:r>
        <w:rPr>
          <w:rFonts w:hint="eastAsia" w:ascii="宋体" w:hAnsi="宋体" w:eastAsia="宋体" w:cs="宋体"/>
          <w:sz w:val="24"/>
          <w:szCs w:val="24"/>
        </w:rPr>
        <w:t>变压器容量、位置、供电系</w:t>
      </w:r>
      <w:r>
        <w:rPr>
          <w:rFonts w:hint="eastAsia"/>
          <w:sz w:val="24"/>
          <w:szCs w:val="24"/>
        </w:rPr>
        <w:t>统以及各低压电源回路编号、容量、配电系统设计。</w:t>
      </w:r>
    </w:p>
    <w:p w14:paraId="5786FBE5">
      <w:pPr>
        <w:pStyle w:val="7"/>
        <w:spacing w:line="560" w:lineRule="exact"/>
        <w:ind w:firstLine="636"/>
        <w:rPr>
          <w:rFonts w:hint="eastAsia"/>
          <w:spacing w:val="-2"/>
          <w:sz w:val="24"/>
          <w:szCs w:val="24"/>
        </w:rPr>
      </w:pPr>
      <w:r>
        <w:rPr>
          <w:rFonts w:hint="eastAsia"/>
          <w:spacing w:val="-2"/>
          <w:sz w:val="24"/>
          <w:szCs w:val="24"/>
        </w:rPr>
        <w:t>2)道路照明平面图，灯具、灯杆、回路编号、灯杆编号:相别、容量。”</w:t>
      </w:r>
    </w:p>
    <w:p w14:paraId="001FF974">
      <w:pPr>
        <w:pStyle w:val="7"/>
        <w:spacing w:line="560" w:lineRule="exact"/>
        <w:ind w:firstLine="636"/>
        <w:rPr>
          <w:rFonts w:hint="eastAsia"/>
          <w:spacing w:val="-2"/>
          <w:sz w:val="24"/>
          <w:szCs w:val="24"/>
        </w:rPr>
      </w:pPr>
      <w:r>
        <w:rPr>
          <w:rFonts w:hint="eastAsia"/>
          <w:spacing w:val="-2"/>
          <w:sz w:val="24"/>
          <w:szCs w:val="24"/>
        </w:rPr>
        <w:t>3）照明配电、控制系统图及控制原理图。</w:t>
      </w:r>
    </w:p>
    <w:p w14:paraId="6EA19F8E">
      <w:pPr>
        <w:pStyle w:val="7"/>
        <w:spacing w:line="560" w:lineRule="exact"/>
        <w:ind w:firstLine="636"/>
        <w:rPr>
          <w:rFonts w:hint="eastAsia"/>
          <w:spacing w:val="-2"/>
          <w:sz w:val="24"/>
          <w:szCs w:val="24"/>
        </w:rPr>
      </w:pPr>
      <w:r>
        <w:rPr>
          <w:rFonts w:hint="eastAsia"/>
          <w:spacing w:val="-2"/>
          <w:sz w:val="24"/>
          <w:szCs w:val="24"/>
        </w:rPr>
        <w:t>4)大样图，包括:路灯杆型示意图，路灯基础安装图路灯变电站基础及防雷接地平面图、道路照明接线井做法详图。</w:t>
      </w:r>
    </w:p>
    <w:p w14:paraId="59E1DBDA">
      <w:pPr>
        <w:pStyle w:val="7"/>
        <w:spacing w:line="560" w:lineRule="exact"/>
        <w:ind w:firstLine="636"/>
        <w:rPr>
          <w:rFonts w:hint="eastAsia"/>
          <w:spacing w:val="-2"/>
          <w:sz w:val="24"/>
          <w:szCs w:val="24"/>
        </w:rPr>
      </w:pPr>
      <w:r>
        <w:rPr>
          <w:rFonts w:hint="eastAsia"/>
          <w:spacing w:val="-2"/>
          <w:sz w:val="24"/>
          <w:szCs w:val="24"/>
        </w:rPr>
        <w:t>照明横断面图:标注路灯布置位置(与路缘石的间距)、灯高;列出路灯间距、路灯功率(及消耗功率)、照度等技术参数。</w:t>
      </w:r>
    </w:p>
    <w:p w14:paraId="26B78339">
      <w:pPr>
        <w:pStyle w:val="7"/>
        <w:spacing w:line="560" w:lineRule="exact"/>
        <w:rPr>
          <w:rFonts w:hint="eastAsia"/>
          <w:spacing w:val="-2"/>
          <w:sz w:val="24"/>
          <w:szCs w:val="24"/>
        </w:rPr>
      </w:pPr>
      <w:r>
        <w:rPr>
          <w:rFonts w:hint="eastAsia"/>
          <w:spacing w:val="-2"/>
          <w:sz w:val="24"/>
          <w:szCs w:val="24"/>
        </w:rPr>
        <w:t>6)主要设备、材料表。</w:t>
      </w:r>
    </w:p>
    <w:p w14:paraId="3AE3EC4C">
      <w:pPr>
        <w:pStyle w:val="7"/>
        <w:spacing w:line="560" w:lineRule="exact"/>
        <w:ind w:firstLine="146" w:firstLineChars="62"/>
        <w:rPr>
          <w:rFonts w:hint="eastAsia"/>
          <w:spacing w:val="-2"/>
          <w:sz w:val="24"/>
          <w:szCs w:val="24"/>
        </w:rPr>
      </w:pPr>
      <w:r>
        <w:rPr>
          <w:rFonts w:hint="eastAsia"/>
          <w:spacing w:val="-2"/>
          <w:sz w:val="24"/>
          <w:szCs w:val="24"/>
        </w:rPr>
        <w:t>3、交通工程</w:t>
      </w:r>
    </w:p>
    <w:p w14:paraId="1DE6205C">
      <w:pPr>
        <w:pStyle w:val="7"/>
        <w:spacing w:line="560" w:lineRule="exact"/>
        <w:ind w:firstLine="636"/>
        <w:rPr>
          <w:rFonts w:hint="eastAsia"/>
          <w:spacing w:val="-2"/>
          <w:sz w:val="24"/>
          <w:szCs w:val="24"/>
        </w:rPr>
      </w:pPr>
      <w:r>
        <w:rPr>
          <w:rFonts w:hint="eastAsia"/>
          <w:spacing w:val="-2"/>
          <w:sz w:val="24"/>
          <w:szCs w:val="24"/>
        </w:rPr>
        <w:t>（1）设计要求</w:t>
      </w:r>
    </w:p>
    <w:p w14:paraId="15A318D1">
      <w:pPr>
        <w:pStyle w:val="7"/>
        <w:spacing w:line="560" w:lineRule="exact"/>
        <w:ind w:firstLine="636"/>
        <w:rPr>
          <w:rFonts w:hint="eastAsia"/>
          <w:spacing w:val="-2"/>
          <w:sz w:val="24"/>
          <w:szCs w:val="24"/>
        </w:rPr>
      </w:pPr>
      <w:r>
        <w:rPr>
          <w:rFonts w:hint="eastAsia"/>
          <w:spacing w:val="-2"/>
          <w:sz w:val="24"/>
          <w:szCs w:val="24"/>
        </w:rPr>
        <w:t>根据道路线形、交通流量、交通组成等，进行交通组织设计，明确交通工程设计标准，适当确定交通标志和标线及其他交通设施的设置位置；统盘考虑，整体布局，做到连贯性、一致性。给道路使用者提供全面的资讯，满足各种道路交通信息的需求，确保行驶的安全、快捷、畅通。</w:t>
      </w:r>
    </w:p>
    <w:p w14:paraId="24552C11">
      <w:pPr>
        <w:pStyle w:val="7"/>
        <w:spacing w:line="560" w:lineRule="exact"/>
        <w:ind w:firstLine="636"/>
        <w:rPr>
          <w:rFonts w:hint="eastAsia"/>
          <w:spacing w:val="-2"/>
          <w:sz w:val="24"/>
          <w:szCs w:val="24"/>
        </w:rPr>
      </w:pPr>
      <w:r>
        <w:rPr>
          <w:rFonts w:hint="eastAsia"/>
          <w:spacing w:val="-2"/>
          <w:sz w:val="24"/>
          <w:szCs w:val="24"/>
        </w:rPr>
        <w:t>（2）设计内容（包括但不限于以下内容）：</w:t>
      </w:r>
    </w:p>
    <w:p w14:paraId="3C33057C">
      <w:pPr>
        <w:pStyle w:val="7"/>
        <w:spacing w:line="560" w:lineRule="exact"/>
        <w:ind w:firstLine="636"/>
        <w:rPr>
          <w:rFonts w:hint="eastAsia"/>
          <w:spacing w:val="-2"/>
          <w:sz w:val="24"/>
          <w:szCs w:val="24"/>
        </w:rPr>
      </w:pPr>
      <w:r>
        <w:rPr>
          <w:rFonts w:hint="eastAsia"/>
          <w:spacing w:val="-2"/>
          <w:sz w:val="24"/>
          <w:szCs w:val="24"/>
        </w:rPr>
        <w:t>1）交通工程设计说明</w:t>
      </w:r>
    </w:p>
    <w:p w14:paraId="34B23C05">
      <w:pPr>
        <w:pStyle w:val="7"/>
        <w:spacing w:line="560" w:lineRule="exact"/>
        <w:ind w:firstLine="636"/>
        <w:rPr>
          <w:rFonts w:hint="eastAsia"/>
          <w:spacing w:val="-2"/>
          <w:sz w:val="24"/>
          <w:szCs w:val="24"/>
        </w:rPr>
      </w:pPr>
      <w:r>
        <w:rPr>
          <w:rFonts w:hint="eastAsia"/>
          <w:spacing w:val="-2"/>
          <w:sz w:val="24"/>
          <w:szCs w:val="24"/>
        </w:rPr>
        <w:t>2）主要工程量表</w:t>
      </w:r>
    </w:p>
    <w:p w14:paraId="484B00C0">
      <w:pPr>
        <w:pStyle w:val="7"/>
        <w:spacing w:line="560" w:lineRule="exact"/>
        <w:ind w:firstLine="636"/>
        <w:rPr>
          <w:rFonts w:hint="eastAsia"/>
          <w:spacing w:val="-2"/>
          <w:sz w:val="24"/>
          <w:szCs w:val="24"/>
        </w:rPr>
      </w:pPr>
      <w:r>
        <w:rPr>
          <w:rFonts w:hint="eastAsia"/>
          <w:spacing w:val="-2"/>
          <w:sz w:val="24"/>
          <w:szCs w:val="24"/>
        </w:rPr>
        <w:t>3）交通平面设计图</w:t>
      </w:r>
    </w:p>
    <w:p w14:paraId="3F42A952">
      <w:pPr>
        <w:pStyle w:val="7"/>
        <w:spacing w:line="560" w:lineRule="exact"/>
        <w:ind w:firstLine="636"/>
        <w:rPr>
          <w:rFonts w:hint="eastAsia"/>
          <w:spacing w:val="-2"/>
          <w:sz w:val="24"/>
          <w:szCs w:val="24"/>
        </w:rPr>
      </w:pPr>
      <w:r>
        <w:rPr>
          <w:rFonts w:hint="eastAsia"/>
          <w:spacing w:val="-2"/>
          <w:sz w:val="24"/>
          <w:szCs w:val="24"/>
        </w:rPr>
        <w:t>4）大样图，包括：交通标线大样图、交通标志版面大样图、交通标志单立杆及悬臂杆结构设计图、机动车信号灯及人行信号灯结构及基础设计图、交通监控管线埋设大样图及连接井结构图等。</w:t>
      </w:r>
    </w:p>
    <w:p w14:paraId="6AD177E1">
      <w:pPr>
        <w:pStyle w:val="7"/>
        <w:spacing w:line="560" w:lineRule="exact"/>
        <w:outlineLvl w:val="0"/>
        <w:rPr>
          <w:rFonts w:hint="eastAsia"/>
          <w:b/>
          <w:bCs/>
          <w:sz w:val="24"/>
          <w:szCs w:val="24"/>
        </w:rPr>
      </w:pPr>
      <w:bookmarkStart w:id="599" w:name="_Toc31533"/>
      <w:bookmarkStart w:id="600" w:name="_Toc21650"/>
      <w:bookmarkStart w:id="601" w:name="_Toc31106"/>
      <w:bookmarkStart w:id="602" w:name="_Toc5994"/>
      <w:r>
        <w:rPr>
          <w:rFonts w:hint="eastAsia"/>
          <w:b/>
          <w:bCs/>
          <w:sz w:val="24"/>
          <w:szCs w:val="24"/>
        </w:rPr>
        <w:t>四、设计周期及成果</w:t>
      </w:r>
      <w:bookmarkEnd w:id="599"/>
      <w:bookmarkEnd w:id="600"/>
      <w:bookmarkEnd w:id="601"/>
    </w:p>
    <w:p w14:paraId="4D428AE7">
      <w:pPr>
        <w:pStyle w:val="7"/>
        <w:spacing w:line="560" w:lineRule="exact"/>
        <w:ind w:firstLine="640"/>
        <w:rPr>
          <w:rFonts w:hint="eastAsia"/>
          <w:sz w:val="24"/>
          <w:szCs w:val="24"/>
        </w:rPr>
      </w:pPr>
      <w:bookmarkStart w:id="603" w:name="_Toc19356"/>
      <w:r>
        <w:rPr>
          <w:rFonts w:hint="eastAsia"/>
          <w:sz w:val="24"/>
          <w:szCs w:val="24"/>
        </w:rPr>
        <w:t>1、乙方需自行收集项目周边的地形及市政条件。</w:t>
      </w:r>
    </w:p>
    <w:p w14:paraId="2230AF6B">
      <w:pPr>
        <w:pStyle w:val="7"/>
        <w:spacing w:line="560" w:lineRule="exact"/>
        <w:ind w:firstLine="640"/>
        <w:rPr>
          <w:rFonts w:hint="eastAsia"/>
          <w:sz w:val="24"/>
          <w:szCs w:val="24"/>
        </w:rPr>
      </w:pPr>
      <w:r>
        <w:rPr>
          <w:rFonts w:hint="eastAsia"/>
          <w:sz w:val="24"/>
          <w:szCs w:val="24"/>
        </w:rPr>
        <w:t>2、施工图设计套数初定为6份、成果汇报PPT演示文件1份、固态U盘或移动硬盘2套及甲方所需工程量等相关资料提供我司。</w:t>
      </w:r>
    </w:p>
    <w:p w14:paraId="0502A495">
      <w:pPr>
        <w:pStyle w:val="7"/>
        <w:spacing w:line="560" w:lineRule="exact"/>
        <w:ind w:firstLine="640"/>
        <w:rPr>
          <w:rFonts w:hint="eastAsia"/>
          <w:sz w:val="24"/>
          <w:szCs w:val="24"/>
        </w:rPr>
      </w:pPr>
      <w:r>
        <w:rPr>
          <w:rFonts w:hint="eastAsia"/>
          <w:sz w:val="24"/>
          <w:szCs w:val="24"/>
        </w:rPr>
        <w:t>3、设计周期为45日历天。</w:t>
      </w:r>
    </w:p>
    <w:p w14:paraId="336F621F">
      <w:pPr>
        <w:pStyle w:val="7"/>
        <w:spacing w:line="560" w:lineRule="exact"/>
        <w:ind w:firstLine="640"/>
        <w:rPr>
          <w:rFonts w:hint="eastAsia"/>
          <w:sz w:val="24"/>
          <w:szCs w:val="24"/>
        </w:rPr>
      </w:pPr>
      <w:r>
        <w:rPr>
          <w:rFonts w:hint="eastAsia"/>
          <w:sz w:val="24"/>
          <w:szCs w:val="24"/>
        </w:rPr>
        <w:t>4、为了保证图纸质量，一些必要的中间资料须报甲方审核。</w:t>
      </w:r>
    </w:p>
    <w:p w14:paraId="690A96A1">
      <w:pPr>
        <w:pStyle w:val="7"/>
        <w:spacing w:line="560" w:lineRule="exact"/>
        <w:ind w:firstLine="640"/>
        <w:rPr>
          <w:rFonts w:hint="eastAsia"/>
          <w:b/>
          <w:bCs/>
          <w:sz w:val="24"/>
          <w:szCs w:val="24"/>
        </w:rPr>
      </w:pPr>
      <w:r>
        <w:rPr>
          <w:rFonts w:hint="eastAsia"/>
          <w:sz w:val="24"/>
          <w:szCs w:val="24"/>
        </w:rPr>
        <w:t>5、设计单位应在签约后接到建设方的通知后在规定的设计周期内完成设计，并提交设计成果。其它资料随工程进度逐步交付，或由双方协商确定。</w:t>
      </w:r>
    </w:p>
    <w:p w14:paraId="1C6BF70E">
      <w:pPr>
        <w:pStyle w:val="7"/>
        <w:spacing w:line="560" w:lineRule="exact"/>
        <w:outlineLvl w:val="0"/>
        <w:rPr>
          <w:rFonts w:hint="eastAsia"/>
          <w:b/>
          <w:bCs/>
          <w:sz w:val="24"/>
          <w:szCs w:val="24"/>
        </w:rPr>
      </w:pPr>
      <w:bookmarkStart w:id="604" w:name="_Toc12767"/>
      <w:r>
        <w:rPr>
          <w:rFonts w:hint="eastAsia"/>
          <w:b/>
          <w:bCs/>
          <w:sz w:val="24"/>
          <w:szCs w:val="24"/>
        </w:rPr>
        <w:t>五、其他要求</w:t>
      </w:r>
      <w:bookmarkEnd w:id="602"/>
      <w:bookmarkEnd w:id="603"/>
      <w:bookmarkEnd w:id="604"/>
    </w:p>
    <w:p w14:paraId="4A02C0DF">
      <w:pPr>
        <w:pStyle w:val="7"/>
        <w:spacing w:line="560" w:lineRule="exact"/>
        <w:ind w:firstLine="640"/>
        <w:rPr>
          <w:rFonts w:hint="eastAsia"/>
          <w:sz w:val="24"/>
          <w:szCs w:val="24"/>
        </w:rPr>
      </w:pPr>
      <w:r>
        <w:rPr>
          <w:rFonts w:hint="eastAsia"/>
          <w:sz w:val="24"/>
          <w:szCs w:val="24"/>
        </w:rPr>
        <w:t>在项目推进过程中，对本工程的设计服务、设计成果实施全过程、全方位的管理、控制和协调；在进度、质量、投资方面加强统一控制，保证工程建设目标的圆满完成。提供以下服务内容：</w:t>
      </w:r>
    </w:p>
    <w:p w14:paraId="33B11CDA">
      <w:pPr>
        <w:pStyle w:val="7"/>
        <w:spacing w:line="560" w:lineRule="exact"/>
        <w:ind w:firstLine="640"/>
        <w:rPr>
          <w:rFonts w:hint="eastAsia"/>
          <w:sz w:val="24"/>
          <w:szCs w:val="24"/>
        </w:rPr>
      </w:pPr>
      <w:r>
        <w:rPr>
          <w:rFonts w:hint="eastAsia"/>
          <w:sz w:val="24"/>
          <w:szCs w:val="24"/>
        </w:rPr>
        <w:t>1、乙方要充分了解现状情况，充分收集相关资料，听取政府有关部门及甲方的意见。</w:t>
      </w:r>
    </w:p>
    <w:p w14:paraId="5BF88657">
      <w:pPr>
        <w:pStyle w:val="7"/>
        <w:spacing w:line="560" w:lineRule="exact"/>
        <w:ind w:firstLine="640"/>
        <w:rPr>
          <w:rFonts w:hint="eastAsia"/>
          <w:sz w:val="24"/>
          <w:szCs w:val="24"/>
        </w:rPr>
      </w:pPr>
      <w:r>
        <w:rPr>
          <w:rFonts w:hint="eastAsia"/>
          <w:sz w:val="24"/>
          <w:szCs w:val="24"/>
        </w:rPr>
        <w:t>2、乙方需向甲方进行中间成果汇报和讨论，明确落实甲方意图，会议一般安排在中间阶段和政府讨论汇报阶段，在进行中间成果汇报时需要提供汇报提纲及成果简本若干套。</w:t>
      </w:r>
    </w:p>
    <w:p w14:paraId="6F1AD913">
      <w:pPr>
        <w:pStyle w:val="7"/>
        <w:spacing w:line="560" w:lineRule="exact"/>
        <w:ind w:firstLine="640"/>
        <w:rPr>
          <w:rFonts w:hint="eastAsia"/>
          <w:sz w:val="24"/>
          <w:szCs w:val="24"/>
        </w:rPr>
      </w:pPr>
      <w:r>
        <w:rPr>
          <w:rFonts w:hint="eastAsia"/>
          <w:sz w:val="24"/>
          <w:szCs w:val="24"/>
        </w:rPr>
        <w:t>3、市政工程设计成果需要达到上级审批部门要求深度，乙方应协助甲方一同完成向当地政府进行汇报工作。</w:t>
      </w:r>
    </w:p>
    <w:p w14:paraId="73877144">
      <w:pPr>
        <w:pStyle w:val="7"/>
        <w:spacing w:line="560" w:lineRule="exact"/>
        <w:ind w:firstLine="640"/>
        <w:rPr>
          <w:rFonts w:hint="eastAsia"/>
          <w:sz w:val="24"/>
          <w:szCs w:val="24"/>
        </w:rPr>
      </w:pPr>
      <w:r>
        <w:rPr>
          <w:rFonts w:hint="eastAsia"/>
          <w:sz w:val="24"/>
          <w:szCs w:val="24"/>
        </w:rPr>
        <w:t>4、需按照甲方提供的设计条件、设计要求、甲方的设计标准进行设计，在初步设计及设计概算经相关部门审批通过后，方可开展施工图设计及后续工作。</w:t>
      </w:r>
    </w:p>
    <w:p w14:paraId="1CD784A6">
      <w:pPr>
        <w:pStyle w:val="7"/>
        <w:spacing w:line="560" w:lineRule="exact"/>
        <w:ind w:firstLine="640"/>
        <w:rPr>
          <w:rFonts w:hint="eastAsia"/>
          <w:sz w:val="24"/>
          <w:szCs w:val="24"/>
        </w:rPr>
      </w:pPr>
      <w:r>
        <w:rPr>
          <w:rFonts w:hint="eastAsia"/>
          <w:sz w:val="24"/>
          <w:szCs w:val="24"/>
        </w:rPr>
        <w:t>5、乙方负责各阶段会务组织、材料装订、专家评审等相关费用。</w:t>
      </w:r>
    </w:p>
    <w:p w14:paraId="17F2BDD4">
      <w:pPr>
        <w:pStyle w:val="7"/>
        <w:spacing w:line="560" w:lineRule="exact"/>
        <w:ind w:firstLine="640"/>
        <w:rPr>
          <w:rFonts w:hint="eastAsia"/>
          <w:sz w:val="24"/>
          <w:szCs w:val="24"/>
        </w:rPr>
      </w:pPr>
      <w:r>
        <w:rPr>
          <w:rFonts w:hint="eastAsia"/>
          <w:sz w:val="24"/>
          <w:szCs w:val="24"/>
        </w:rPr>
        <w:t>6、施工图设计中，乙方须建模、复模，确保最终呈现的效果符合设计。</w:t>
      </w:r>
    </w:p>
    <w:p w14:paraId="37710183">
      <w:pPr>
        <w:pStyle w:val="7"/>
        <w:spacing w:line="560" w:lineRule="exact"/>
        <w:ind w:firstLine="640"/>
        <w:rPr>
          <w:rFonts w:hint="eastAsia"/>
          <w:sz w:val="24"/>
          <w:szCs w:val="24"/>
        </w:rPr>
      </w:pPr>
      <w:r>
        <w:rPr>
          <w:rFonts w:hint="eastAsia"/>
          <w:sz w:val="24"/>
          <w:szCs w:val="24"/>
        </w:rPr>
        <w:t>7、乙方需向甲方提供项目报建所需各类设计资料，并配合甲方完成规划审批工作。</w:t>
      </w:r>
    </w:p>
    <w:p w14:paraId="50F84C8D">
      <w:pPr>
        <w:pStyle w:val="7"/>
        <w:spacing w:line="560" w:lineRule="exact"/>
        <w:ind w:firstLine="640"/>
        <w:rPr>
          <w:rFonts w:hint="eastAsia"/>
          <w:sz w:val="24"/>
          <w:szCs w:val="24"/>
        </w:rPr>
      </w:pPr>
      <w:r>
        <w:rPr>
          <w:rFonts w:hint="eastAsia"/>
          <w:sz w:val="24"/>
          <w:szCs w:val="24"/>
        </w:rPr>
        <w:t>8、在项目实施过程中，为建设方提供工程咨询服务，提供合理化建议。</w:t>
      </w:r>
    </w:p>
    <w:p w14:paraId="4F4A82C5">
      <w:pPr>
        <w:pStyle w:val="7"/>
        <w:spacing w:line="560" w:lineRule="exact"/>
        <w:ind w:firstLine="640"/>
        <w:rPr>
          <w:rFonts w:hint="eastAsia"/>
          <w:sz w:val="24"/>
          <w:szCs w:val="24"/>
        </w:rPr>
      </w:pPr>
      <w:r>
        <w:rPr>
          <w:rFonts w:hint="eastAsia"/>
          <w:sz w:val="24"/>
          <w:szCs w:val="24"/>
        </w:rPr>
        <w:t>9、项目开工后，组织主要设计人员对项目的进展情况进行跟踪服务，应指定专人为设计代表，负责现场施工配合，在第一时发现和解决项目存在的问题，提高设计服务效率。</w:t>
      </w:r>
    </w:p>
    <w:p w14:paraId="3F606172">
      <w:pPr>
        <w:pStyle w:val="7"/>
        <w:spacing w:line="560" w:lineRule="exact"/>
        <w:ind w:firstLine="640"/>
        <w:rPr>
          <w:rFonts w:hint="eastAsia"/>
          <w:sz w:val="24"/>
          <w:szCs w:val="24"/>
        </w:rPr>
      </w:pPr>
      <w:r>
        <w:rPr>
          <w:rFonts w:hint="eastAsia"/>
          <w:sz w:val="24"/>
          <w:szCs w:val="24"/>
        </w:rPr>
        <w:t>10、参加建设方召开的工程建设管理会议，包括工程建设例会、设计协调会，并落实会议确定的有关意见。</w:t>
      </w:r>
    </w:p>
    <w:p w14:paraId="3674A7A6">
      <w:pPr>
        <w:pStyle w:val="7"/>
        <w:spacing w:line="560" w:lineRule="exact"/>
        <w:ind w:firstLine="640"/>
        <w:rPr>
          <w:rFonts w:hint="eastAsia"/>
          <w:sz w:val="24"/>
          <w:szCs w:val="24"/>
        </w:rPr>
      </w:pPr>
      <w:r>
        <w:rPr>
          <w:rFonts w:hint="eastAsia"/>
          <w:sz w:val="24"/>
          <w:szCs w:val="24"/>
        </w:rPr>
        <w:t>11、按照建设方的指示，参加建设方、施工单位或监理单位主持的隐蔽工程验收、单项完工验收、工程竣工验收以及其他建设方认为设计院有必要参加的阶段工程验收，并提交相应的验收设计报告。</w:t>
      </w:r>
    </w:p>
    <w:p w14:paraId="346E92FD">
      <w:pPr>
        <w:pStyle w:val="7"/>
        <w:spacing w:line="560" w:lineRule="exact"/>
        <w:outlineLvl w:val="0"/>
        <w:rPr>
          <w:rFonts w:hint="eastAsia"/>
          <w:b/>
          <w:bCs/>
          <w:sz w:val="24"/>
          <w:szCs w:val="24"/>
        </w:rPr>
      </w:pPr>
      <w:bookmarkStart w:id="605" w:name="_Toc20083"/>
      <w:bookmarkStart w:id="606" w:name="_Toc15577"/>
      <w:r>
        <w:rPr>
          <w:rFonts w:hint="eastAsia"/>
          <w:b/>
          <w:bCs/>
          <w:sz w:val="24"/>
          <w:szCs w:val="24"/>
        </w:rPr>
        <w:t>六、相关附件</w:t>
      </w:r>
      <w:bookmarkEnd w:id="605"/>
      <w:bookmarkEnd w:id="606"/>
    </w:p>
    <w:p w14:paraId="27071CE1">
      <w:pPr>
        <w:pStyle w:val="7"/>
        <w:spacing w:line="560" w:lineRule="exact"/>
        <w:ind w:firstLine="640"/>
        <w:rPr>
          <w:rFonts w:hint="eastAsia"/>
          <w:sz w:val="24"/>
          <w:szCs w:val="24"/>
        </w:rPr>
      </w:pPr>
      <w:r>
        <w:rPr>
          <w:rFonts w:hint="eastAsia"/>
          <w:sz w:val="24"/>
          <w:szCs w:val="24"/>
        </w:rPr>
        <w:t>（无）</w:t>
      </w:r>
    </w:p>
    <w:p w14:paraId="1494E017">
      <w:pPr>
        <w:pStyle w:val="7"/>
        <w:rPr>
          <w:rFonts w:hint="eastAsia"/>
          <w:sz w:val="28"/>
          <w:szCs w:val="22"/>
          <w:highlight w:val="none"/>
        </w:rPr>
      </w:pPr>
    </w:p>
    <w:p w14:paraId="196A5EEF">
      <w:pPr>
        <w:pStyle w:val="7"/>
        <w:rPr>
          <w:rFonts w:hint="eastAsia"/>
          <w:sz w:val="28"/>
          <w:szCs w:val="22"/>
          <w:highlight w:val="none"/>
        </w:rPr>
      </w:pPr>
    </w:p>
    <w:p w14:paraId="05108FEF">
      <w:pPr>
        <w:pStyle w:val="7"/>
        <w:rPr>
          <w:rFonts w:hint="eastAsia"/>
          <w:sz w:val="28"/>
          <w:szCs w:val="22"/>
          <w:highlight w:val="none"/>
        </w:rPr>
      </w:pPr>
    </w:p>
    <w:p w14:paraId="3EB65E3B">
      <w:pPr>
        <w:pStyle w:val="7"/>
        <w:rPr>
          <w:rFonts w:hint="eastAsia"/>
          <w:sz w:val="28"/>
          <w:szCs w:val="22"/>
          <w:highlight w:val="none"/>
        </w:rPr>
      </w:pPr>
    </w:p>
    <w:p w14:paraId="6DF3F561">
      <w:pPr>
        <w:pStyle w:val="7"/>
        <w:rPr>
          <w:rFonts w:hint="eastAsia"/>
          <w:sz w:val="28"/>
          <w:szCs w:val="22"/>
          <w:highlight w:val="none"/>
        </w:rPr>
      </w:pPr>
    </w:p>
    <w:p w14:paraId="68168B6E">
      <w:pPr>
        <w:pStyle w:val="7"/>
        <w:rPr>
          <w:rFonts w:hint="eastAsia"/>
          <w:sz w:val="28"/>
          <w:szCs w:val="22"/>
          <w:highlight w:val="none"/>
        </w:rPr>
      </w:pPr>
    </w:p>
    <w:p w14:paraId="212ACA51">
      <w:pPr>
        <w:pStyle w:val="7"/>
        <w:rPr>
          <w:rFonts w:hint="eastAsia"/>
          <w:sz w:val="28"/>
          <w:szCs w:val="22"/>
          <w:highlight w:val="none"/>
        </w:rPr>
      </w:pPr>
    </w:p>
    <w:p w14:paraId="1B8C0DC3">
      <w:pPr>
        <w:pStyle w:val="7"/>
        <w:rPr>
          <w:rFonts w:hint="eastAsia"/>
          <w:sz w:val="28"/>
          <w:szCs w:val="22"/>
          <w:highlight w:val="none"/>
        </w:rPr>
      </w:pPr>
    </w:p>
    <w:p w14:paraId="1461084D">
      <w:pPr>
        <w:rPr>
          <w:rFonts w:hint="eastAsia"/>
          <w:sz w:val="28"/>
          <w:szCs w:val="22"/>
          <w:highlight w:val="none"/>
        </w:rPr>
      </w:pPr>
      <w:r>
        <w:rPr>
          <w:rFonts w:hint="eastAsia"/>
          <w:sz w:val="28"/>
          <w:szCs w:val="22"/>
          <w:highlight w:val="none"/>
        </w:rPr>
        <w:br w:type="page"/>
      </w:r>
    </w:p>
    <w:p w14:paraId="1CC13C3A">
      <w:pPr>
        <w:pStyle w:val="7"/>
        <w:rPr>
          <w:rFonts w:hint="eastAsia"/>
          <w:sz w:val="28"/>
          <w:szCs w:val="22"/>
          <w:highlight w:val="none"/>
        </w:rPr>
      </w:pPr>
      <w:r>
        <w:rPr>
          <w:rFonts w:hint="eastAsia"/>
          <w:sz w:val="28"/>
          <w:szCs w:val="22"/>
          <w:highlight w:val="none"/>
        </w:rPr>
        <w:t>附件</w:t>
      </w:r>
      <w:r>
        <w:rPr>
          <w:rFonts w:hint="eastAsia"/>
          <w:sz w:val="28"/>
          <w:szCs w:val="22"/>
          <w:highlight w:val="none"/>
          <w:lang w:val="en-US"/>
        </w:rPr>
        <w:t>十</w:t>
      </w:r>
      <w:r>
        <w:rPr>
          <w:rFonts w:hint="eastAsia"/>
          <w:sz w:val="28"/>
          <w:szCs w:val="22"/>
          <w:highlight w:val="none"/>
        </w:rPr>
        <w:t>：</w:t>
      </w:r>
    </w:p>
    <w:p w14:paraId="484C70BD">
      <w:pPr>
        <w:rPr>
          <w:rFonts w:hint="default" w:ascii="Times New Roman" w:hAnsi="Times New Roman" w:cs="Times New Roman"/>
          <w:color w:val="auto"/>
          <w:sz w:val="22"/>
          <w:szCs w:val="24"/>
          <w:highlight w:val="none"/>
        </w:rPr>
      </w:pPr>
    </w:p>
    <w:p w14:paraId="782106E0">
      <w:pPr>
        <w:rPr>
          <w:rFonts w:hint="default" w:ascii="Times New Roman" w:hAnsi="Times New Roman" w:cs="Times New Roman"/>
          <w:color w:val="auto"/>
          <w:sz w:val="22"/>
          <w:szCs w:val="24"/>
          <w:highlight w:val="none"/>
        </w:rPr>
      </w:pPr>
    </w:p>
    <w:p w14:paraId="163271CB">
      <w:pPr>
        <w:rPr>
          <w:rFonts w:hint="default" w:ascii="Times New Roman" w:hAnsi="Times New Roman" w:cs="Times New Roman"/>
          <w:color w:val="auto"/>
          <w:sz w:val="56"/>
          <w:szCs w:val="56"/>
          <w:highlight w:val="none"/>
        </w:rPr>
      </w:pPr>
    </w:p>
    <w:p w14:paraId="13EABF6D">
      <w:pPr>
        <w:rPr>
          <w:rFonts w:hint="default" w:ascii="Times New Roman" w:hAnsi="Times New Roman" w:cs="Times New Roman"/>
          <w:color w:val="auto"/>
          <w:sz w:val="56"/>
          <w:szCs w:val="56"/>
          <w:highlight w:val="none"/>
        </w:rPr>
      </w:pPr>
    </w:p>
    <w:p w14:paraId="466B8710">
      <w:pPr>
        <w:rPr>
          <w:rFonts w:hint="default" w:ascii="Times New Roman" w:hAnsi="Times New Roman" w:cs="Times New Roman"/>
          <w:color w:val="auto"/>
          <w:sz w:val="22"/>
          <w:szCs w:val="24"/>
          <w:highlight w:val="none"/>
        </w:rPr>
      </w:pPr>
    </w:p>
    <w:p w14:paraId="3DD61494">
      <w:pPr>
        <w:rPr>
          <w:rFonts w:hint="default" w:ascii="Times New Roman" w:hAnsi="Times New Roman" w:cs="Times New Roman"/>
          <w:color w:val="auto"/>
          <w:sz w:val="22"/>
          <w:szCs w:val="24"/>
          <w:highlight w:val="none"/>
        </w:rPr>
      </w:pPr>
    </w:p>
    <w:p w14:paraId="50621F8F">
      <w:pPr>
        <w:jc w:val="center"/>
        <w:rPr>
          <w:rFonts w:hint="eastAsia" w:ascii="宋体" w:hAnsi="宋体" w:cs="宋体"/>
          <w:b/>
          <w:bCs/>
          <w:sz w:val="52"/>
          <w:szCs w:val="52"/>
          <w:highlight w:val="none"/>
        </w:rPr>
      </w:pPr>
      <w:r>
        <w:rPr>
          <w:rFonts w:hint="eastAsia" w:ascii="宋体" w:hAnsi="宋体" w:cs="宋体"/>
          <w:b/>
          <w:bCs/>
          <w:sz w:val="52"/>
          <w:szCs w:val="52"/>
          <w:highlight w:val="none"/>
        </w:rPr>
        <w:t>施工单位项目经理</w:t>
      </w:r>
    </w:p>
    <w:p w14:paraId="66E56434">
      <w:pPr>
        <w:jc w:val="center"/>
        <w:rPr>
          <w:rFonts w:hint="eastAsia" w:ascii="宋体" w:hAnsi="宋体" w:cs="宋体"/>
          <w:sz w:val="52"/>
          <w:szCs w:val="52"/>
          <w:highlight w:val="none"/>
        </w:rPr>
      </w:pPr>
      <w:r>
        <w:rPr>
          <w:rFonts w:hint="eastAsia" w:ascii="宋体" w:hAnsi="宋体" w:cs="宋体"/>
          <w:b/>
          <w:bCs/>
          <w:sz w:val="52"/>
          <w:szCs w:val="52"/>
          <w:highlight w:val="none"/>
        </w:rPr>
        <w:t>质量终身责任承诺书</w:t>
      </w:r>
    </w:p>
    <w:p w14:paraId="7B7C4FAB">
      <w:pPr>
        <w:rPr>
          <w:rFonts w:hint="eastAsia" w:ascii="宋体" w:hAnsi="宋体" w:cs="宋体"/>
          <w:sz w:val="22"/>
          <w:szCs w:val="24"/>
          <w:highlight w:val="none"/>
        </w:rPr>
      </w:pPr>
    </w:p>
    <w:p w14:paraId="57DA03B0">
      <w:pPr>
        <w:jc w:val="center"/>
        <w:rPr>
          <w:rFonts w:hint="eastAsia" w:ascii="宋体" w:hAnsi="宋体" w:cs="宋体"/>
          <w:sz w:val="48"/>
          <w:szCs w:val="48"/>
          <w:highlight w:val="none"/>
        </w:rPr>
      </w:pPr>
    </w:p>
    <w:p w14:paraId="1F7059B8">
      <w:pPr>
        <w:jc w:val="center"/>
        <w:rPr>
          <w:rFonts w:hint="eastAsia" w:ascii="宋体" w:hAnsi="宋体" w:cs="宋体"/>
          <w:sz w:val="48"/>
          <w:szCs w:val="48"/>
          <w:highlight w:val="none"/>
        </w:rPr>
      </w:pPr>
    </w:p>
    <w:p w14:paraId="4FB6EB99">
      <w:pPr>
        <w:jc w:val="center"/>
        <w:rPr>
          <w:rFonts w:hint="eastAsia" w:ascii="宋体" w:hAnsi="宋体" w:cs="宋体"/>
          <w:sz w:val="48"/>
          <w:szCs w:val="48"/>
          <w:highlight w:val="none"/>
        </w:rPr>
      </w:pPr>
    </w:p>
    <w:p w14:paraId="6FFF5445">
      <w:pPr>
        <w:jc w:val="left"/>
        <w:rPr>
          <w:rFonts w:hint="eastAsia" w:ascii="宋体" w:hAnsi="宋体" w:cs="宋体"/>
          <w:sz w:val="40"/>
          <w:szCs w:val="40"/>
          <w:highlight w:val="none"/>
        </w:rPr>
      </w:pPr>
    </w:p>
    <w:p w14:paraId="6F5B93FB">
      <w:pPr>
        <w:jc w:val="left"/>
        <w:rPr>
          <w:rFonts w:hint="eastAsia" w:ascii="宋体" w:hAnsi="宋体" w:cs="宋体"/>
          <w:sz w:val="40"/>
          <w:szCs w:val="40"/>
          <w:highlight w:val="none"/>
        </w:rPr>
      </w:pPr>
    </w:p>
    <w:p w14:paraId="5FAE2E51">
      <w:pPr>
        <w:jc w:val="left"/>
        <w:rPr>
          <w:rFonts w:hint="eastAsia" w:ascii="宋体" w:hAnsi="宋体" w:cs="宋体"/>
          <w:sz w:val="40"/>
          <w:szCs w:val="40"/>
          <w:highlight w:val="none"/>
        </w:rPr>
      </w:pPr>
    </w:p>
    <w:p w14:paraId="47F75E00">
      <w:pPr>
        <w:jc w:val="left"/>
        <w:rPr>
          <w:rFonts w:hint="eastAsia" w:ascii="宋体" w:hAnsi="宋体" w:cs="宋体"/>
          <w:sz w:val="40"/>
          <w:szCs w:val="40"/>
          <w:highlight w:val="none"/>
        </w:rPr>
      </w:pPr>
    </w:p>
    <w:p w14:paraId="530DDAC4">
      <w:pPr>
        <w:jc w:val="left"/>
        <w:rPr>
          <w:rFonts w:hint="eastAsia" w:ascii="宋体" w:hAnsi="宋体" w:cs="宋体"/>
          <w:sz w:val="40"/>
          <w:szCs w:val="40"/>
          <w:highlight w:val="none"/>
        </w:rPr>
      </w:pPr>
    </w:p>
    <w:p w14:paraId="6C104B1C">
      <w:pPr>
        <w:snapToGrid w:val="0"/>
        <w:spacing w:line="360" w:lineRule="auto"/>
        <w:rPr>
          <w:rFonts w:hint="eastAsia" w:ascii="宋体" w:hAnsi="宋体" w:cs="宋体"/>
          <w:sz w:val="32"/>
          <w:szCs w:val="32"/>
          <w:highlight w:val="none"/>
          <w:u w:val="single"/>
        </w:rPr>
      </w:pPr>
      <w:r>
        <w:rPr>
          <w:rFonts w:hint="eastAsia" w:ascii="宋体" w:hAnsi="宋体" w:cs="宋体"/>
          <w:sz w:val="32"/>
          <w:szCs w:val="32"/>
          <w:highlight w:val="none"/>
        </w:rPr>
        <w:t>工程名称：</w:t>
      </w:r>
      <w:r>
        <w:rPr>
          <w:rFonts w:hint="eastAsia" w:ascii="宋体" w:hAnsi="宋体" w:cs="宋体"/>
          <w:sz w:val="32"/>
          <w:szCs w:val="32"/>
          <w:highlight w:val="none"/>
          <w:lang w:eastAsia="zh-CN"/>
        </w:rPr>
        <w:t>韦斗大道（纬二十路）（经四十路—造字台路）道路工程EPC工程总承包</w:t>
      </w:r>
    </w:p>
    <w:p w14:paraId="62032FED">
      <w:pPr>
        <w:jc w:val="left"/>
        <w:rPr>
          <w:rFonts w:hint="eastAsia" w:ascii="宋体" w:hAnsi="宋体" w:cs="宋体"/>
          <w:sz w:val="32"/>
          <w:szCs w:val="32"/>
          <w:highlight w:val="none"/>
        </w:rPr>
      </w:pPr>
      <w:r>
        <w:rPr>
          <w:rFonts w:hint="eastAsia" w:ascii="宋体" w:hAnsi="宋体" w:cs="宋体"/>
          <w:sz w:val="32"/>
          <w:szCs w:val="32"/>
          <w:highlight w:val="none"/>
        </w:rPr>
        <w:t xml:space="preserve">                    </w:t>
      </w:r>
    </w:p>
    <w:p w14:paraId="4FB7C6F5">
      <w:pPr>
        <w:snapToGrid w:val="0"/>
        <w:spacing w:line="360" w:lineRule="auto"/>
        <w:rPr>
          <w:rFonts w:hint="eastAsia" w:ascii="宋体" w:hAnsi="宋体" w:cs="宋体"/>
          <w:sz w:val="32"/>
          <w:szCs w:val="32"/>
          <w:highlight w:val="none"/>
          <w:lang w:eastAsia="zh-CN"/>
        </w:rPr>
      </w:pPr>
      <w:r>
        <w:rPr>
          <w:rFonts w:hint="default" w:ascii="宋体" w:hAnsi="宋体" w:cs="宋体"/>
          <w:sz w:val="32"/>
          <w:szCs w:val="32"/>
          <w:highlight w:val="none"/>
          <w:lang w:eastAsia="zh-CN"/>
        </w:rPr>
        <w:t>施工单位：陕西建工集团股份有限公司</w:t>
      </w:r>
    </w:p>
    <w:p w14:paraId="280DF257">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本人受</w:t>
      </w:r>
      <w:r>
        <w:rPr>
          <w:rFonts w:hint="default" w:ascii="Times New Roman" w:hAnsi="Times New Roman" w:cs="Times New Roman"/>
          <w:snapToGrid w:val="0"/>
          <w:color w:val="auto"/>
          <w:sz w:val="24"/>
          <w:szCs w:val="22"/>
          <w:highlight w:val="none"/>
          <w:u w:val="single"/>
        </w:rPr>
        <w:t>陕西建工集团股份有限公司</w:t>
      </w:r>
      <w:r>
        <w:rPr>
          <w:rFonts w:hint="eastAsia" w:ascii="宋体" w:hAnsi="宋体" w:cs="宋体"/>
          <w:snapToGrid w:val="0"/>
          <w:sz w:val="24"/>
          <w:szCs w:val="22"/>
          <w:highlight w:val="none"/>
        </w:rPr>
        <w:t>（单位）授权，担任</w:t>
      </w:r>
      <w:r>
        <w:rPr>
          <w:rFonts w:hint="eastAsia" w:ascii="宋体" w:hAnsi="宋体" w:cs="宋体"/>
          <w:snapToGrid w:val="0"/>
          <w:sz w:val="24"/>
          <w:szCs w:val="22"/>
          <w:highlight w:val="none"/>
          <w:u w:val="single"/>
        </w:rPr>
        <w:t xml:space="preserve">  </w:t>
      </w:r>
      <w:r>
        <w:rPr>
          <w:rFonts w:hint="eastAsia" w:ascii="宋体" w:hAnsi="宋体" w:cs="宋体"/>
          <w:snapToGrid w:val="0"/>
          <w:sz w:val="24"/>
          <w:szCs w:val="22"/>
          <w:highlight w:val="none"/>
          <w:u w:val="single"/>
          <w:lang w:eastAsia="zh-CN"/>
        </w:rPr>
        <w:t>韦斗大道（纬二十路）（经四十路—造字台路）道路工程EPC工程总承包</w:t>
      </w:r>
      <w:r>
        <w:rPr>
          <w:rFonts w:hint="eastAsia" w:ascii="宋体" w:hAnsi="宋体" w:cs="宋体"/>
          <w:snapToGrid w:val="0"/>
          <w:sz w:val="24"/>
          <w:szCs w:val="22"/>
          <w:highlight w:val="none"/>
          <w:u w:val="single"/>
        </w:rPr>
        <w:t xml:space="preserve"> </w:t>
      </w:r>
      <w:r>
        <w:rPr>
          <w:rFonts w:hint="eastAsia" w:ascii="宋体" w:hAnsi="宋体" w:cs="宋体"/>
          <w:snapToGrid w:val="0"/>
          <w:sz w:val="24"/>
          <w:szCs w:val="22"/>
          <w:highlight w:val="none"/>
        </w:rPr>
        <w:t>（工程）的施工单位项目负责人，自    年   月  日起（实际负责该项目时间）对该工程项目进行施工组织管理。</w:t>
      </w:r>
    </w:p>
    <w:p w14:paraId="0C3043AC">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本人承诺：严格依据国家有关法律法规、规范标准及工程建设合同履职，对设计使用年限内的工程质量承担全面的终身责任。并在该工程建设过程中一定认真履行下列职责:</w:t>
      </w:r>
    </w:p>
    <w:p w14:paraId="7E71E6DC">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1）严格遵守《中华人民共和国建筑法》、《建设工程质量管理条例》《建筑工程五方责任主体项目负责人质量终身责任追究暂行办法》、《建筑施工项目经理质量安全责任十项规定(试行)》、《建筑工程施工转包违法分包等违法行为认定查处管理办法(试行》等其他法律法规。</w:t>
      </w:r>
    </w:p>
    <w:p w14:paraId="20B639C5">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（2）必须按规定取得相应执业资格和安全生产考核合格证书；按合同约定必须在岗履职，在岗时间坚决不得少于每月施工时间的80%，决不违反规定同时在两个及以上的工程项目担任项目经理。</w:t>
      </w:r>
    </w:p>
    <w:p w14:paraId="638BEF6A">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（3）负责建立质量管理体系，负责配备专职质量管理人员，负责落实质量责任制、质量管理规章制度和操作规程。</w:t>
      </w:r>
    </w:p>
    <w:p w14:paraId="3E6C03AE">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（4）负责组织编制施工组织设计，负责组织制定质量技术措施，负责组织编制、论证和实施危险性较大分部分项工程专项施工方案；负责组织质量技术交底。</w:t>
      </w:r>
    </w:p>
    <w:p w14:paraId="24202DEF">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（5）严格按照工程设计图纸和技术标准组织施工，决不偷工减料。</w:t>
      </w:r>
    </w:p>
    <w:p w14:paraId="01ADF21B">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6）组织对进入现场的建筑材料、构配件、设备、预拌混凝土等进行检验，未经检验或检验不合格，决不使用；必须组织对涉及结构安全的试块、试件以及有关材料进行取样检测，送检试样坚决不弄虚作假，决不篡改或者伪造检测报告，决不明示或暗示检测机构出具虚假检测报告。</w:t>
      </w:r>
    </w:p>
    <w:p w14:paraId="24123E88">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（7）组织做好隐蔽工程的施工及验收工作，确保各项施工资料（隐蔽资料、质检资料等）与工程实体进度同步。</w:t>
      </w:r>
    </w:p>
    <w:p w14:paraId="615A8BCA">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（8）参加分部工程的验收，参加单位工程和工程竣工验收；必须在验收文件上签字，决不签署虚假文件。</w:t>
      </w:r>
    </w:p>
    <w:p w14:paraId="4E1E1361">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（9）在危险性较大分部分项工程施工期间现场带班，确保质量安全符合要求；组织起重机械、模板支架等使用前验收，未经验收或验收不合格，决不使用。</w:t>
      </w:r>
    </w:p>
    <w:p w14:paraId="154D54E1">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（10）严禁使用国家明令淘汰、禁止使用的危及施工质量安全的工艺、设备、材料。</w:t>
      </w:r>
    </w:p>
    <w:p w14:paraId="54EA7529">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（11）定期组织质量隐患排查，及时消除质量隐患；必须落实上级主管部门及建设单位提出的质量隐患整改要求，及时整改回复，并在整改报告上签字。</w:t>
      </w:r>
    </w:p>
    <w:p w14:paraId="6710D46C">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（12）按规定报告质量事故，保护事故现场，事故调查中提供真实可靠的现场情况。</w:t>
      </w:r>
    </w:p>
    <w:p w14:paraId="6726FCF0">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（13）选择符合相应资质的检测单位承担工程见证取样检测及有关结构安全检测。并将企业资质报监理单位审核，审核通过后报建设单位项目负责人审批，未经审批的单位禁止进场。</w:t>
      </w:r>
    </w:p>
    <w:p w14:paraId="65D745C8">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（14）选定的分包单位企业资质必须报监理单位审核，审核通过后报建设单位项目负责人审批，未经审批的单位禁止进场。</w:t>
      </w:r>
    </w:p>
    <w:p w14:paraId="061D1A59">
      <w:pPr>
        <w:snapToGrid w:val="0"/>
        <w:spacing w:line="360" w:lineRule="auto"/>
        <w:ind w:firstLine="480" w:firstLineChars="200"/>
        <w:rPr>
          <w:rFonts w:hint="eastAsia" w:ascii="宋体" w:hAnsi="宋体" w:cs="宋体"/>
          <w:snapToGrid w:val="0"/>
          <w:sz w:val="24"/>
          <w:szCs w:val="22"/>
          <w:highlight w:val="none"/>
        </w:rPr>
      </w:pPr>
      <w:r>
        <w:rPr>
          <w:rFonts w:hint="eastAsia" w:ascii="宋体" w:hAnsi="宋体" w:cs="宋体"/>
          <w:snapToGrid w:val="0"/>
          <w:sz w:val="24"/>
          <w:szCs w:val="22"/>
          <w:highlight w:val="none"/>
        </w:rPr>
        <w:t>（15）本人因工作调动、调离、离职等原因不再作为该项目负责人时（项目经理变更手续已在质量监督机构和建设单位完成审批），承担任职期间内在建工程施工范围的质量终身责任，并提前好做工作交接，督促接任人续签质量终身责任承诺书。</w:t>
      </w:r>
    </w:p>
    <w:p w14:paraId="440338CF">
      <w:pPr>
        <w:spacing w:line="500" w:lineRule="exact"/>
        <w:ind w:firstLine="480" w:firstLineChars="200"/>
        <w:rPr>
          <w:rFonts w:hint="eastAsia" w:ascii="宋体" w:hAnsi="宋体" w:cs="宋体"/>
          <w:sz w:val="24"/>
          <w:szCs w:val="22"/>
          <w:highlight w:val="none"/>
        </w:rPr>
      </w:pPr>
    </w:p>
    <w:p w14:paraId="2470ADCC">
      <w:pPr>
        <w:spacing w:line="500" w:lineRule="exact"/>
        <w:ind w:firstLine="480" w:firstLineChars="200"/>
        <w:rPr>
          <w:rFonts w:hint="eastAsia" w:ascii="宋体" w:hAnsi="宋体" w:cs="宋体"/>
          <w:sz w:val="24"/>
          <w:szCs w:val="22"/>
          <w:highlight w:val="none"/>
        </w:rPr>
      </w:pPr>
    </w:p>
    <w:p w14:paraId="594D0392">
      <w:pPr>
        <w:spacing w:line="500" w:lineRule="exact"/>
        <w:rPr>
          <w:rFonts w:hint="eastAsia" w:ascii="宋体" w:hAnsi="宋体" w:cs="宋体"/>
          <w:sz w:val="24"/>
          <w:szCs w:val="22"/>
          <w:highlight w:val="none"/>
        </w:rPr>
      </w:pPr>
    </w:p>
    <w:p w14:paraId="7A38E104">
      <w:pPr>
        <w:spacing w:line="500" w:lineRule="exact"/>
        <w:ind w:firstLine="480" w:firstLineChars="200"/>
        <w:rPr>
          <w:rFonts w:hint="eastAsia" w:ascii="宋体" w:hAnsi="宋体" w:cs="宋体"/>
          <w:sz w:val="24"/>
          <w:szCs w:val="22"/>
          <w:highlight w:val="none"/>
        </w:rPr>
      </w:pPr>
    </w:p>
    <w:p w14:paraId="0F1FC144">
      <w:pPr>
        <w:spacing w:line="500" w:lineRule="exact"/>
        <w:ind w:firstLine="480" w:firstLineChars="200"/>
        <w:rPr>
          <w:rFonts w:hint="eastAsia" w:ascii="宋体" w:hAnsi="宋体" w:cs="宋体"/>
          <w:sz w:val="24"/>
          <w:szCs w:val="22"/>
          <w:highlight w:val="none"/>
        </w:rPr>
      </w:pPr>
      <w:r>
        <w:rPr>
          <w:rFonts w:hint="eastAsia" w:ascii="宋体" w:hAnsi="宋体" w:cs="宋体"/>
          <w:sz w:val="24"/>
          <w:szCs w:val="22"/>
          <w:highlight w:val="none"/>
        </w:rPr>
        <w:t>施工单位项目负责人：</w:t>
      </w:r>
    </w:p>
    <w:p w14:paraId="054650ED">
      <w:pPr>
        <w:spacing w:line="500" w:lineRule="exact"/>
        <w:ind w:firstLine="480" w:firstLineChars="200"/>
        <w:rPr>
          <w:rFonts w:hint="eastAsia" w:ascii="宋体" w:hAnsi="宋体" w:cs="宋体"/>
          <w:sz w:val="24"/>
          <w:szCs w:val="22"/>
          <w:highlight w:val="none"/>
        </w:rPr>
      </w:pPr>
    </w:p>
    <w:p w14:paraId="0F8EC002">
      <w:pPr>
        <w:spacing w:line="500" w:lineRule="exact"/>
        <w:ind w:firstLine="480" w:firstLineChars="200"/>
        <w:rPr>
          <w:rFonts w:hint="eastAsia" w:ascii="宋体" w:hAnsi="宋体" w:cs="宋体"/>
          <w:sz w:val="24"/>
          <w:szCs w:val="22"/>
          <w:highlight w:val="none"/>
        </w:rPr>
      </w:pPr>
      <w:r>
        <w:rPr>
          <w:rFonts w:hint="eastAsia" w:ascii="宋体" w:hAnsi="宋体" w:cs="宋体"/>
          <w:sz w:val="24"/>
          <w:szCs w:val="22"/>
          <w:highlight w:val="none"/>
        </w:rPr>
        <w:t>身份证号：220223197309040659</w:t>
      </w:r>
    </w:p>
    <w:p w14:paraId="32C73EEE">
      <w:pPr>
        <w:spacing w:line="500" w:lineRule="exact"/>
        <w:ind w:firstLine="480" w:firstLineChars="200"/>
        <w:rPr>
          <w:rFonts w:hint="eastAsia" w:ascii="宋体" w:hAnsi="宋体" w:cs="宋体"/>
          <w:sz w:val="24"/>
          <w:szCs w:val="22"/>
          <w:highlight w:val="none"/>
        </w:rPr>
      </w:pPr>
    </w:p>
    <w:p w14:paraId="1F6B3E3A">
      <w:pPr>
        <w:spacing w:line="500" w:lineRule="exact"/>
        <w:ind w:firstLine="480" w:firstLineChars="200"/>
        <w:jc w:val="left"/>
        <w:rPr>
          <w:rFonts w:hint="eastAsia" w:ascii="宋体" w:hAnsi="宋体" w:cs="宋体"/>
          <w:b/>
          <w:bCs/>
          <w:sz w:val="21"/>
          <w:szCs w:val="21"/>
          <w:highlight w:val="none"/>
        </w:rPr>
      </w:pPr>
      <w:r>
        <w:rPr>
          <w:rFonts w:hint="eastAsia" w:ascii="宋体" w:hAnsi="宋体" w:cs="宋体"/>
          <w:sz w:val="24"/>
          <w:szCs w:val="22"/>
          <w:highlight w:val="none"/>
        </w:rPr>
        <w:t>签署时间：</w:t>
      </w:r>
    </w:p>
    <w:p w14:paraId="7CED3514">
      <w:pPr>
        <w:jc w:val="left"/>
        <w:rPr>
          <w:rFonts w:hint="eastAsia" w:ascii="宋体" w:hAnsi="宋体" w:cs="宋体"/>
          <w:b/>
          <w:bCs/>
          <w:sz w:val="22"/>
          <w:highlight w:val="none"/>
        </w:rPr>
      </w:pPr>
      <w:r>
        <w:rPr>
          <w:rFonts w:hint="eastAsia" w:ascii="宋体" w:hAnsi="宋体" w:cs="宋体"/>
          <w:b/>
          <w:bCs/>
          <w:sz w:val="22"/>
          <w:highlight w:val="none"/>
        </w:rPr>
        <w:br w:type="page"/>
      </w:r>
      <w:r>
        <w:rPr>
          <w:rFonts w:hint="eastAsia" w:ascii="宋体" w:hAnsi="宋体" w:cs="宋体"/>
          <w:b/>
          <w:bCs/>
          <w:sz w:val="22"/>
          <w:highlight w:val="none"/>
        </w:rPr>
        <w:t>附件十一：</w:t>
      </w:r>
    </w:p>
    <w:p w14:paraId="3545360F">
      <w:pPr>
        <w:jc w:val="center"/>
        <w:rPr>
          <w:rFonts w:hint="eastAsia" w:ascii="宋体" w:hAnsi="宋体" w:cs="宋体"/>
          <w:sz w:val="48"/>
          <w:szCs w:val="48"/>
          <w:highlight w:val="none"/>
        </w:rPr>
      </w:pPr>
      <w:r>
        <w:rPr>
          <w:rFonts w:hint="eastAsia" w:ascii="宋体" w:hAnsi="宋体" w:cs="宋体"/>
          <w:sz w:val="48"/>
          <w:szCs w:val="48"/>
          <w:highlight w:val="none"/>
        </w:rPr>
        <w:t>施工单位管理人员在岗履职承诺书</w:t>
      </w:r>
    </w:p>
    <w:p w14:paraId="5C1EA452">
      <w:pPr>
        <w:widowControl/>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我是</w:t>
      </w:r>
      <w:r>
        <w:rPr>
          <w:rFonts w:hint="eastAsia" w:ascii="宋体" w:hAnsi="宋体" w:cs="宋体"/>
          <w:sz w:val="24"/>
          <w:szCs w:val="24"/>
          <w:highlight w:val="none"/>
          <w:u w:val="single"/>
        </w:rPr>
        <w:t xml:space="preserve"> </w:t>
      </w:r>
      <w:r>
        <w:rPr>
          <w:rFonts w:hint="default" w:ascii="Times New Roman" w:hAnsi="Times New Roman" w:cs="Times New Roman"/>
          <w:color w:val="auto"/>
          <w:sz w:val="24"/>
          <w:szCs w:val="24"/>
          <w:highlight w:val="none"/>
          <w:u w:val="single"/>
        </w:rPr>
        <w:t>陕西建工集团股份有限公司</w:t>
      </w:r>
      <w:r>
        <w:rPr>
          <w:rFonts w:hint="eastAsia" w:ascii="宋体" w:hAnsi="宋体" w:cs="宋体"/>
          <w:sz w:val="24"/>
          <w:szCs w:val="24"/>
          <w:highlight w:val="none"/>
          <w:u w:val="single"/>
        </w:rPr>
        <w:t xml:space="preserve"> </w:t>
      </w:r>
      <w:r>
        <w:rPr>
          <w:rFonts w:hint="eastAsia" w:ascii="宋体" w:hAnsi="宋体" w:cs="宋体"/>
          <w:sz w:val="24"/>
          <w:szCs w:val="24"/>
          <w:highlight w:val="none"/>
        </w:rPr>
        <w:t>法人代表（或法人委托代理人）</w:t>
      </w:r>
      <w:r>
        <w:rPr>
          <w:rFonts w:hint="eastAsia" w:ascii="宋体" w:hAnsi="宋体" w:cs="宋体"/>
          <w:sz w:val="24"/>
          <w:szCs w:val="24"/>
          <w:highlight w:val="none"/>
          <w:u w:val="single"/>
        </w:rPr>
        <w:t xml:space="preserve"> </w:t>
      </w:r>
      <w:r>
        <w:rPr>
          <w:rFonts w:hint="default" w:ascii="Times New Roman" w:hAnsi="Times New Roman" w:cs="Times New Roman"/>
          <w:color w:val="auto"/>
          <w:sz w:val="24"/>
          <w:szCs w:val="24"/>
          <w:highlight w:val="none"/>
          <w:u w:val="single"/>
        </w:rPr>
        <w:t>陈琦</w:t>
      </w:r>
      <w:r>
        <w:rPr>
          <w:rFonts w:hint="eastAsia" w:ascii="宋体" w:hAnsi="宋体" w:cs="宋体"/>
          <w:sz w:val="24"/>
          <w:szCs w:val="24"/>
          <w:highlight w:val="none"/>
          <w:u w:val="single"/>
        </w:rPr>
        <w:t xml:space="preserve"> </w:t>
      </w:r>
      <w:r>
        <w:rPr>
          <w:rFonts w:hint="eastAsia" w:ascii="宋体" w:hAnsi="宋体" w:cs="宋体"/>
          <w:sz w:val="24"/>
          <w:szCs w:val="24"/>
          <w:highlight w:val="none"/>
        </w:rPr>
        <w:t>，参加</w:t>
      </w:r>
      <w:r>
        <w:rPr>
          <w:rFonts w:hint="eastAsia" w:ascii="宋体" w:hAnsi="宋体" w:cs="宋体"/>
          <w:sz w:val="24"/>
          <w:szCs w:val="24"/>
          <w:highlight w:val="none"/>
          <w:u w:val="single"/>
          <w:lang w:eastAsia="zh-CN"/>
        </w:rPr>
        <w:t>韦斗大道（纬二十路）（经四十路—造字台路）道路工程EPC工程总承包</w:t>
      </w:r>
      <w:r>
        <w:rPr>
          <w:rFonts w:hint="eastAsia" w:ascii="宋体" w:hAnsi="宋体" w:cs="宋体"/>
          <w:sz w:val="24"/>
          <w:szCs w:val="24"/>
          <w:highlight w:val="none"/>
        </w:rPr>
        <w:t>招标。就我公司项目部全部管理人员在岗履职事宜我代表本公司承诺并声明以下内容：</w:t>
      </w:r>
    </w:p>
    <w:p w14:paraId="144691F4">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1.我们已经认真的学习了</w:t>
      </w:r>
      <w:r>
        <w:rPr>
          <w:rFonts w:hint="eastAsia" w:ascii="宋体" w:hAnsi="宋体" w:cs="宋体"/>
          <w:kern w:val="0"/>
          <w:sz w:val="24"/>
          <w:szCs w:val="24"/>
          <w:highlight w:val="none"/>
          <w:lang w:eastAsia="zh-CN"/>
        </w:rPr>
        <w:t>贵方</w:t>
      </w:r>
      <w:r>
        <w:rPr>
          <w:rFonts w:hint="eastAsia" w:ascii="宋体" w:hAnsi="宋体" w:cs="宋体"/>
          <w:sz w:val="24"/>
          <w:szCs w:val="24"/>
          <w:highlight w:val="none"/>
        </w:rPr>
        <w:t>涉及考勤管理的办法及制度，深刻了解了</w:t>
      </w:r>
      <w:r>
        <w:rPr>
          <w:rFonts w:hint="eastAsia" w:ascii="宋体" w:hAnsi="宋体" w:cs="宋体"/>
          <w:kern w:val="0"/>
          <w:sz w:val="24"/>
          <w:szCs w:val="24"/>
          <w:highlight w:val="none"/>
          <w:lang w:eastAsia="zh-CN"/>
        </w:rPr>
        <w:t>贵方</w:t>
      </w:r>
      <w:r>
        <w:rPr>
          <w:rFonts w:hint="eastAsia" w:ascii="宋体" w:hAnsi="宋体" w:cs="宋体"/>
          <w:sz w:val="24"/>
          <w:szCs w:val="24"/>
          <w:highlight w:val="none"/>
        </w:rPr>
        <w:t>对施工单位主要管理人员在岗履职的具体要求，认识到主要管理人员在该建设工程中所发挥的重要作用，以及工程建设管理人员在岗履职的重要性和必要性。</w:t>
      </w:r>
    </w:p>
    <w:p w14:paraId="7FEBC053">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 我单位承诺在本合同及相关文件中约定的管理人员全部按时到岗，合同履行期间，决不擅自更换项目经理等主要管理人员。确因重病或者重伤（三级甲等医院证明）、辞职或调离、责令停职或者开除公职、取消或暂停职业资格、不可抗力等特殊原因、以及贵单位认为不称职不能继续履职需要更换的，我单位自愿按照合同、相关规定等承担违约责任，经贵单位书面同意后予以更换。</w:t>
      </w:r>
    </w:p>
    <w:p w14:paraId="645EE7A0">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3.我单位调整项目主要管理人员时填写《调整项目人员申请表》（附件1）和《更换主要管理人员资历强制性要求对照表》（附件2），《拟更换本项目的主要管理人员简历表》（附件3），并按照贵单位要求逐级审批。</w:t>
      </w:r>
    </w:p>
    <w:p w14:paraId="518353D0">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4.我单位填写《调整项目人员申请表》、《更换主要管理人员资历强制性要求对照表》和《拟更换本项目的主要管理人员简历表》均有我单位法人签字并加盖单位公章及法人章;我单位根据变更原因提供书面申请，说明理由并附必要的证明材料，如：任职书、终止劳动合同证明等。贵单位的最终批准并不免除我单位应承担的违约责任。</w:t>
      </w:r>
    </w:p>
    <w:p w14:paraId="33F1176B">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5.我单位承诺更换后的人员资质满足招标的强制性资格条件要求，且不低于合同及投标文件中约定人员的资质；我单位对更换后人员证书的真实性负责。</w:t>
      </w:r>
    </w:p>
    <w:p w14:paraId="42A4B295">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6.我单位更换项目经理还须符合省、市、区建设主管部门的有关管理规定。</w:t>
      </w:r>
    </w:p>
    <w:p w14:paraId="126B3EC5">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7.我单位承诺自贵单位批准更换项目经理后的第一时间完成在省、市、区建设主管部门的备案。</w:t>
      </w:r>
    </w:p>
    <w:p w14:paraId="2AD5C7D8">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8．我单位更换项目其他管理人员将按照贵单位的相应管理制度执行，被更换人员在充分完成工作交接后离岗。</w:t>
      </w:r>
    </w:p>
    <w:p w14:paraId="3311731A">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9.我单位项目经理、技术负责人、安全管理负责人等重要岗位人员无论是否更换，如不能胜任岗位的管理要求，贵单位有权要求立即进行更换。我单位承诺在一周内无条件更换为满足合同要求并且能胜任岗位要求的人员到岗履职。</w:t>
      </w:r>
    </w:p>
    <w:p w14:paraId="24B917AE">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10．贵单位批准同意更换人员前，我单位承诺原管理人员按合同约定在岗履职，否则自愿接受贵单位的处罚。</w:t>
      </w:r>
    </w:p>
    <w:p w14:paraId="0D751E73">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11.我单位在项目实施前，根据合同约定将本项目人员组建情况及人员进场清单报贵单位项目主管部门、企业管理部进行审批及备案。</w:t>
      </w:r>
    </w:p>
    <w:p w14:paraId="3131F61E">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12.我单位自愿在进场前，安装贵单位认可考勤打卡设备，极力配合录入人员信息等安装工作。 </w:t>
      </w:r>
    </w:p>
    <w:p w14:paraId="0C62416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13. 依据</w:t>
      </w:r>
      <w:r>
        <w:rPr>
          <w:rFonts w:hint="eastAsia" w:ascii="宋体" w:hAnsi="宋体" w:cs="宋体"/>
          <w:kern w:val="0"/>
          <w:sz w:val="24"/>
          <w:szCs w:val="24"/>
          <w:highlight w:val="none"/>
          <w:lang w:eastAsia="zh-CN"/>
        </w:rPr>
        <w:t>贵方</w:t>
      </w:r>
      <w:r>
        <w:rPr>
          <w:rFonts w:hint="eastAsia" w:ascii="宋体" w:hAnsi="宋体" w:cs="宋体"/>
          <w:sz w:val="24"/>
          <w:szCs w:val="24"/>
          <w:highlight w:val="none"/>
        </w:rPr>
        <w:t xml:space="preserve">考勤打卡等相关制度，严格要求我单位管理人员按时、按点打卡，确保每月在岗时间不少于22天。 </w:t>
      </w:r>
    </w:p>
    <w:p w14:paraId="33C4475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14. 我单位承诺于每月25日前，将由负责人签字并加盖公章的考勤表报贵单位项目部，作为工程进度款支付的附件之一。</w:t>
      </w:r>
    </w:p>
    <w:p w14:paraId="598F039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15.在使用考勤设备过程中，发生人为损坏、损毁、丢失等非设备本身质量问题时，由我单位承担维修、更换等费用。</w:t>
      </w:r>
    </w:p>
    <w:p w14:paraId="698570D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16.考勤设备的日常维护及保管由我单位负责，期间设备出现故障不能正常使用时，我方及时更换新的考勤设备，</w:t>
      </w:r>
      <w:bookmarkStart w:id="607" w:name="_Hlk53567254"/>
      <w:r>
        <w:rPr>
          <w:rFonts w:hint="eastAsia" w:ascii="宋体" w:hAnsi="宋体" w:cs="宋体"/>
          <w:sz w:val="24"/>
          <w:szCs w:val="24"/>
          <w:highlight w:val="none"/>
        </w:rPr>
        <w:t>未及时更换考勤设备导致不能正常打卡可视为我单位项目管理人员缺勤。</w:t>
      </w:r>
    </w:p>
    <w:bookmarkEnd w:id="607"/>
    <w:p w14:paraId="63F0D4C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17.</w:t>
      </w:r>
      <w:bookmarkStart w:id="608" w:name="_Hlk53566745"/>
      <w:r>
        <w:rPr>
          <w:rFonts w:hint="eastAsia" w:ascii="宋体" w:hAnsi="宋体" w:cs="宋体"/>
          <w:sz w:val="24"/>
          <w:szCs w:val="24"/>
          <w:highlight w:val="none"/>
        </w:rPr>
        <w:t>我单位项目管理人员</w:t>
      </w:r>
      <w:bookmarkEnd w:id="608"/>
      <w:r>
        <w:rPr>
          <w:rFonts w:hint="eastAsia" w:ascii="宋体" w:hAnsi="宋体" w:cs="宋体"/>
          <w:sz w:val="24"/>
          <w:szCs w:val="24"/>
          <w:highlight w:val="none"/>
        </w:rPr>
        <w:t>在项目实施期间请假的将严格参照发包人及代建人相关制度规定履行请假手续。</w:t>
      </w:r>
    </w:p>
    <w:p w14:paraId="1BF5AA88">
      <w:pPr>
        <w:spacing w:line="560" w:lineRule="exact"/>
        <w:ind w:left="140" w:right="186" w:firstLine="360" w:firstLineChars="150"/>
        <w:rPr>
          <w:rFonts w:hint="eastAsia" w:ascii="宋体" w:hAnsi="宋体" w:cs="宋体"/>
          <w:sz w:val="24"/>
          <w:szCs w:val="24"/>
          <w:highlight w:val="none"/>
        </w:rPr>
      </w:pPr>
      <w:r>
        <w:rPr>
          <w:rFonts w:hint="eastAsia" w:ascii="宋体" w:hAnsi="宋体" w:cs="宋体"/>
          <w:sz w:val="24"/>
          <w:szCs w:val="24"/>
          <w:highlight w:val="none"/>
        </w:rPr>
        <w:t>18. 我单位项目管理人员因外出考察、停电等特殊原因无法按时打卡的，由我单位项目部在未打卡当天最迟在次日，向贵单位项目主管部门递交补卡申请。未按时递交补卡申请的可视为我单位项目管理人员缺勤。</w:t>
      </w:r>
    </w:p>
    <w:p w14:paraId="609BDF6F">
      <w:pPr>
        <w:spacing w:line="560" w:lineRule="exact"/>
        <w:ind w:right="186" w:firstLine="480" w:firstLineChars="200"/>
        <w:rPr>
          <w:rFonts w:hint="eastAsia" w:ascii="宋体" w:hAnsi="宋体" w:cs="宋体"/>
          <w:sz w:val="24"/>
          <w:szCs w:val="24"/>
          <w:highlight w:val="none"/>
        </w:rPr>
      </w:pPr>
      <w:r>
        <w:rPr>
          <w:rFonts w:hint="eastAsia" w:ascii="宋体" w:hAnsi="宋体" w:cs="宋体"/>
          <w:sz w:val="24"/>
          <w:szCs w:val="24"/>
          <w:highlight w:val="none"/>
        </w:rPr>
        <w:t>20.</w:t>
      </w:r>
      <w:bookmarkStart w:id="609" w:name="_Hlk52097647"/>
      <w:r>
        <w:rPr>
          <w:rFonts w:hint="eastAsia" w:ascii="宋体" w:hAnsi="宋体" w:cs="宋体"/>
          <w:sz w:val="24"/>
          <w:szCs w:val="24"/>
          <w:highlight w:val="none"/>
        </w:rPr>
        <w:t>人员变更审批权限</w:t>
      </w:r>
    </w:p>
    <w:p w14:paraId="460C3E7E">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我单位项目管理人员变更按分级、分类报审原则进行，项目经理、技术负责人、安全总监的更换，报贵单位项目主管部门、合同预算部、企业管理部进行审批，由贵单位项目分管领导签字确认后生效。其余管理人员的更换报贵单位项目主管部门审批。</w:t>
      </w:r>
    </w:p>
    <w:bookmarkEnd w:id="609"/>
    <w:p w14:paraId="5C9977BA">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21.人员考勤</w:t>
      </w:r>
    </w:p>
    <w:p w14:paraId="045FAC85">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（1）人员考勤对象为所有按合同约定的我单位项目管理人员。</w:t>
      </w:r>
    </w:p>
    <w:p w14:paraId="0B670CAA">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（2）考勤频次以自然月为一个考勤周期。</w:t>
      </w:r>
    </w:p>
    <w:p w14:paraId="217D25CD">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（3）项目管理人员出勤率满足合同及相关文件要求。项目主要管理人员如有特殊情况需请假离岗的，必须事先办好请假手续，并委派代表代行职责，经贵单位项目主管部门同意后方可离岗，不经请假擅自离</w:t>
      </w:r>
      <w:bookmarkStart w:id="610" w:name="_Hlk47086326"/>
      <w:r>
        <w:rPr>
          <w:rFonts w:hint="eastAsia" w:ascii="宋体" w:hAnsi="宋体" w:cs="宋体"/>
          <w:sz w:val="24"/>
          <w:szCs w:val="24"/>
          <w:highlight w:val="none"/>
        </w:rPr>
        <w:t>岗</w:t>
      </w:r>
      <w:bookmarkEnd w:id="610"/>
      <w:r>
        <w:rPr>
          <w:rFonts w:hint="eastAsia" w:ascii="宋体" w:hAnsi="宋体" w:cs="宋体"/>
          <w:sz w:val="24"/>
          <w:szCs w:val="24"/>
          <w:highlight w:val="none"/>
        </w:rPr>
        <w:t>的，可视为缺勤并自愿接受贵单位的相应处罚。我单位承诺所有请假人员将保持手机畅通，重大及法定节假日如有特殊情况，可及时到岗，否则同样可视为缺勤，并自愿接受贵单位的相应处罚。</w:t>
      </w:r>
    </w:p>
    <w:p w14:paraId="333A9B58">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22.请假手续办理</w:t>
      </w:r>
    </w:p>
    <w:p w14:paraId="504C4A78">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（1）</w:t>
      </w:r>
      <w:bookmarkStart w:id="611" w:name="_Hlk47086796"/>
      <w:r>
        <w:rPr>
          <w:rFonts w:hint="eastAsia" w:ascii="宋体" w:hAnsi="宋体" w:cs="宋体"/>
          <w:sz w:val="24"/>
          <w:szCs w:val="24"/>
          <w:highlight w:val="none"/>
        </w:rPr>
        <w:t>项目经理、技术负责人、安全总监</w:t>
      </w:r>
      <w:bookmarkEnd w:id="611"/>
      <w:r>
        <w:rPr>
          <w:rFonts w:hint="eastAsia" w:ascii="宋体" w:hAnsi="宋体" w:cs="宋体"/>
          <w:sz w:val="24"/>
          <w:szCs w:val="24"/>
          <w:highlight w:val="none"/>
        </w:rPr>
        <w:t>的请</w:t>
      </w:r>
      <w:bookmarkStart w:id="612" w:name="page21"/>
      <w:bookmarkEnd w:id="612"/>
      <w:r>
        <w:rPr>
          <w:rFonts w:hint="eastAsia" w:ascii="宋体" w:hAnsi="宋体" w:cs="宋体"/>
          <w:sz w:val="24"/>
          <w:szCs w:val="24"/>
          <w:highlight w:val="none"/>
        </w:rPr>
        <w:t>假须填写请假表，请假审批完成后报贵单位项目主管部门备案。</w:t>
      </w:r>
    </w:p>
    <w:p w14:paraId="10AA5624">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（2）项目经理请假需经由贵单位项目部部长审批。请假3天以上的报贵单位项目部分管领导批准。</w:t>
      </w:r>
    </w:p>
    <w:p w14:paraId="627FBC2B">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（3）技术负责人、安全总监请假1天以内的（含1天），</w:t>
      </w:r>
      <w:bookmarkStart w:id="613" w:name="_Hlk47086911"/>
      <w:r>
        <w:rPr>
          <w:rFonts w:hint="eastAsia" w:ascii="宋体" w:hAnsi="宋体" w:cs="宋体"/>
          <w:sz w:val="24"/>
          <w:szCs w:val="24"/>
          <w:highlight w:val="none"/>
        </w:rPr>
        <w:t>报贵单位项目</w:t>
      </w:r>
      <w:bookmarkEnd w:id="613"/>
      <w:r>
        <w:rPr>
          <w:rFonts w:hint="eastAsia" w:ascii="宋体" w:hAnsi="宋体" w:cs="宋体"/>
          <w:sz w:val="24"/>
          <w:szCs w:val="24"/>
          <w:highlight w:val="none"/>
        </w:rPr>
        <w:t>主管审批；请假 1-5（含5 天）的，由贵单位项目部部长批准；5天以上的报贵单位项目部分管领导批准。</w:t>
      </w:r>
    </w:p>
    <w:p w14:paraId="3533E8E5">
      <w:pPr>
        <w:spacing w:line="560" w:lineRule="exact"/>
        <w:ind w:left="140" w:right="186" w:firstLine="480" w:firstLineChars="200"/>
        <w:rPr>
          <w:rFonts w:hint="eastAsia" w:ascii="宋体" w:hAnsi="宋体" w:cs="宋体"/>
          <w:sz w:val="24"/>
          <w:szCs w:val="24"/>
          <w:highlight w:val="none"/>
        </w:rPr>
      </w:pPr>
      <w:bookmarkStart w:id="614" w:name="_Hlk47086773"/>
      <w:r>
        <w:rPr>
          <w:rFonts w:hint="eastAsia" w:ascii="宋体" w:hAnsi="宋体" w:cs="宋体"/>
          <w:sz w:val="24"/>
          <w:szCs w:val="24"/>
          <w:highlight w:val="none"/>
        </w:rPr>
        <w:t>（4）</w:t>
      </w:r>
      <w:bookmarkEnd w:id="614"/>
      <w:r>
        <w:rPr>
          <w:rFonts w:hint="eastAsia" w:ascii="宋体" w:hAnsi="宋体" w:cs="宋体"/>
          <w:sz w:val="24"/>
          <w:szCs w:val="24"/>
          <w:highlight w:val="none"/>
        </w:rPr>
        <w:t>其他管理人员请假须填写请假表，请假审批完成后，到贵单位项目部备案。</w:t>
      </w:r>
    </w:p>
    <w:p w14:paraId="45328DE1">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请假 1 天以内的，由我单位项目经理审批。</w:t>
      </w:r>
    </w:p>
    <w:p w14:paraId="6CFBAA1C">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请假 2 天以内（含2天）的，经我单位项目经理同意后，报贵单位项目主管批准。</w:t>
      </w:r>
    </w:p>
    <w:p w14:paraId="1D6F061D">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请假 3 天以上的，由贵单位项目主管审批。</w:t>
      </w:r>
    </w:p>
    <w:p w14:paraId="764E240A">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23.考勤管理</w:t>
      </w:r>
    </w:p>
    <w:p w14:paraId="56164C84">
      <w:pPr>
        <w:spacing w:line="560" w:lineRule="exact"/>
        <w:ind w:right="186" w:firstLine="645"/>
        <w:jc w:val="left"/>
        <w:rPr>
          <w:rFonts w:hint="eastAsia" w:ascii="宋体" w:hAnsi="宋体" w:cs="宋体"/>
          <w:sz w:val="24"/>
          <w:szCs w:val="24"/>
          <w:highlight w:val="none"/>
        </w:rPr>
      </w:pPr>
      <w:r>
        <w:rPr>
          <w:rFonts w:hint="eastAsia" w:ascii="宋体" w:hAnsi="宋体" w:cs="宋体"/>
          <w:sz w:val="24"/>
          <w:szCs w:val="24"/>
          <w:highlight w:val="none"/>
        </w:rPr>
        <w:t>（1）</w:t>
      </w:r>
      <w:bookmarkStart w:id="615" w:name="_Hlk47100547"/>
      <w:r>
        <w:rPr>
          <w:rFonts w:hint="eastAsia" w:ascii="宋体" w:hAnsi="宋体" w:cs="宋体"/>
          <w:sz w:val="24"/>
          <w:szCs w:val="24"/>
          <w:highlight w:val="none"/>
        </w:rPr>
        <w:t>我单位项目部考勤表</w:t>
      </w:r>
      <w:bookmarkEnd w:id="615"/>
      <w:bookmarkStart w:id="616" w:name="_Hlk53578175"/>
      <w:r>
        <w:rPr>
          <w:rFonts w:hint="eastAsia" w:ascii="宋体" w:hAnsi="宋体" w:cs="宋体"/>
          <w:sz w:val="24"/>
          <w:szCs w:val="24"/>
          <w:highlight w:val="none"/>
        </w:rPr>
        <w:t>(人脸识别系统中导出)</w:t>
      </w:r>
      <w:bookmarkEnd w:id="616"/>
      <w:r>
        <w:rPr>
          <w:rFonts w:hint="eastAsia" w:ascii="宋体" w:hAnsi="宋体" w:cs="宋体"/>
          <w:sz w:val="24"/>
          <w:szCs w:val="24"/>
          <w:highlight w:val="none"/>
        </w:rPr>
        <w:t>每月 25 日前由负责人签字并加盖公章后报贵单位项目主管部门。</w:t>
      </w:r>
    </w:p>
    <w:p w14:paraId="1756A825">
      <w:pPr>
        <w:spacing w:line="560" w:lineRule="exact"/>
        <w:ind w:right="186" w:firstLine="645"/>
        <w:jc w:val="left"/>
        <w:rPr>
          <w:rFonts w:hint="eastAsia" w:ascii="宋体" w:hAnsi="宋体" w:cs="宋体"/>
          <w:sz w:val="24"/>
          <w:szCs w:val="24"/>
          <w:highlight w:val="none"/>
        </w:rPr>
      </w:pPr>
      <w:r>
        <w:rPr>
          <w:rFonts w:hint="eastAsia" w:ascii="宋体" w:hAnsi="宋体" w:cs="宋体"/>
          <w:sz w:val="24"/>
          <w:szCs w:val="24"/>
          <w:highlight w:val="none"/>
        </w:rPr>
        <w:t>（2）我单位项目部考勤表(人脸识别系统中导出)作为合同履约及工程款支付的重要依据。</w:t>
      </w:r>
    </w:p>
    <w:p w14:paraId="0C0575BC">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24.我单位承诺在投标文件中填报的人员将全部按时到岗，对于人员</w:t>
      </w:r>
      <w:bookmarkStart w:id="617" w:name="_Hlk47088179"/>
      <w:r>
        <w:rPr>
          <w:rFonts w:hint="eastAsia" w:ascii="宋体" w:hAnsi="宋体" w:cs="宋体"/>
          <w:sz w:val="24"/>
          <w:szCs w:val="24"/>
          <w:highlight w:val="none"/>
        </w:rPr>
        <w:t>未按时到岗</w:t>
      </w:r>
      <w:bookmarkEnd w:id="617"/>
      <w:r>
        <w:rPr>
          <w:rFonts w:hint="eastAsia" w:ascii="宋体" w:hAnsi="宋体" w:cs="宋体"/>
          <w:sz w:val="24"/>
          <w:szCs w:val="24"/>
          <w:highlight w:val="none"/>
        </w:rPr>
        <w:t>等违约行为自愿接受贵单位的违约处理，具体如下：</w:t>
      </w:r>
    </w:p>
    <w:p w14:paraId="61028D2F">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（1）项目经理</w:t>
      </w:r>
      <w:bookmarkStart w:id="618" w:name="_Hlk47088291"/>
      <w:r>
        <w:rPr>
          <w:rFonts w:hint="eastAsia" w:ascii="宋体" w:hAnsi="宋体" w:cs="宋体"/>
          <w:sz w:val="24"/>
          <w:szCs w:val="24"/>
          <w:highlight w:val="none"/>
        </w:rPr>
        <w:t>未按时到岗</w:t>
      </w:r>
      <w:bookmarkEnd w:id="618"/>
      <w:bookmarkStart w:id="619" w:name="_Hlk53568369"/>
      <w:r>
        <w:rPr>
          <w:rFonts w:hint="eastAsia" w:ascii="宋体" w:hAnsi="宋体" w:cs="宋体"/>
          <w:sz w:val="24"/>
          <w:szCs w:val="24"/>
          <w:highlight w:val="none"/>
        </w:rPr>
        <w:t>自愿接受</w:t>
      </w:r>
      <w:bookmarkEnd w:id="619"/>
      <w:r>
        <w:rPr>
          <w:rFonts w:hint="eastAsia" w:ascii="宋体" w:hAnsi="宋体" w:cs="宋体"/>
          <w:sz w:val="24"/>
          <w:szCs w:val="24"/>
          <w:highlight w:val="none"/>
        </w:rPr>
        <w:t>违约金按合同金额2‰的处罚、技术负责人和安全总监未按时到岗自愿接受违约金 50000 元/人次的处罚；其他管理人员的未按时到岗的，自愿接受违约金10000</w:t>
      </w:r>
      <w:bookmarkStart w:id="620" w:name="page16"/>
      <w:bookmarkEnd w:id="620"/>
      <w:r>
        <w:rPr>
          <w:rFonts w:hint="eastAsia" w:ascii="宋体" w:hAnsi="宋体" w:cs="宋体"/>
          <w:sz w:val="24"/>
          <w:szCs w:val="24"/>
          <w:highlight w:val="none"/>
        </w:rPr>
        <w:t>元/人次的处罚。</w:t>
      </w:r>
    </w:p>
    <w:p w14:paraId="58977733">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如因特殊原因确需对投标文件中的主要管理人员进行调整的，我单位承诺所更换的人选在资格、资历、能力等方面均不得低于原来的人选，我单位在第一时间将更换人员的相关资料如任职证明、毕业证书、专业（执业）资格证书等复印件报贵单位备案，并自愿接受相应的违约处理。</w:t>
      </w:r>
    </w:p>
    <w:p w14:paraId="104561AB">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（3）贵单位有权要求我单位提供项目管理人员证件原件进行审核，我单位不能或不能按时提供的，自愿接受 5000元/人次的处罚，贵单位有权要求我单位更换证件不齐人员，如不能按时更换的，自愿接受 1000 元/天/人的处罚直至更换为止。</w:t>
      </w:r>
    </w:p>
    <w:p w14:paraId="29A166BB">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（4）我单位投标列报的主要管理人员不满足或不完全满足相应岗位资格要求（工作经历，工作能力，年龄，执业资格证等）的，</w:t>
      </w:r>
      <w:bookmarkStart w:id="621" w:name="_Hlk53578413"/>
      <w:r>
        <w:rPr>
          <w:rFonts w:hint="eastAsia" w:ascii="宋体" w:hAnsi="宋体" w:cs="宋体"/>
          <w:sz w:val="24"/>
          <w:szCs w:val="24"/>
          <w:highlight w:val="none"/>
        </w:rPr>
        <w:t>自愿接受</w:t>
      </w:r>
      <w:bookmarkEnd w:id="621"/>
      <w:r>
        <w:rPr>
          <w:rFonts w:hint="eastAsia" w:ascii="宋体" w:hAnsi="宋体" w:cs="宋体"/>
          <w:sz w:val="24"/>
          <w:szCs w:val="24"/>
          <w:highlight w:val="none"/>
        </w:rPr>
        <w:t xml:space="preserve"> 10000 元/人的</w:t>
      </w:r>
      <w:bookmarkStart w:id="622" w:name="_Hlk47102136"/>
      <w:r>
        <w:rPr>
          <w:rFonts w:hint="eastAsia" w:ascii="宋体" w:hAnsi="宋体" w:cs="宋体"/>
          <w:sz w:val="24"/>
          <w:szCs w:val="24"/>
          <w:highlight w:val="none"/>
        </w:rPr>
        <w:t>处罚</w:t>
      </w:r>
      <w:bookmarkEnd w:id="622"/>
      <w:r>
        <w:rPr>
          <w:rFonts w:hint="eastAsia" w:ascii="宋体" w:hAnsi="宋体" w:cs="宋体"/>
          <w:sz w:val="24"/>
          <w:szCs w:val="24"/>
          <w:highlight w:val="none"/>
        </w:rPr>
        <w:t>，贵单位有权要求我单位进行更换，不按时更换的，自愿接受1000 元/天/人的处罚直至更换为止。</w:t>
      </w:r>
    </w:p>
    <w:p w14:paraId="6628F2AD">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（5）我单位擅自更换项目经理，自愿接受每人次</w:t>
      </w:r>
      <w:bookmarkStart w:id="623" w:name="_Hlk47102193"/>
      <w:r>
        <w:rPr>
          <w:rFonts w:hint="eastAsia" w:ascii="宋体" w:hAnsi="宋体" w:cs="宋体"/>
          <w:sz w:val="24"/>
          <w:szCs w:val="24"/>
          <w:highlight w:val="none"/>
        </w:rPr>
        <w:t>按合同金额2‰的处罚</w:t>
      </w:r>
      <w:bookmarkEnd w:id="623"/>
      <w:r>
        <w:rPr>
          <w:rFonts w:hint="eastAsia" w:ascii="宋体" w:hAnsi="宋体" w:cs="宋体"/>
          <w:sz w:val="24"/>
          <w:szCs w:val="24"/>
          <w:highlight w:val="none"/>
        </w:rPr>
        <w:t>；擅自更换技术负责人、安全总监的自愿按每人次50000 元接受处罚。</w:t>
      </w:r>
    </w:p>
    <w:p w14:paraId="660F4060">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（6）我单位提出，经贵单位同意，更换项目经理的，自愿接受每人次按合同金额2‰的违约金的处罚；更换技术负责人和安全总监的自愿接受每人次30000 元违约金的处罚。</w:t>
      </w:r>
    </w:p>
    <w:p w14:paraId="07C30EBF">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（7）因我单位原因造成项目主要管理人员更换频繁，贵单位可按照违约处理，并可上报政府主管部门，作为不良记录纳入信用信息管理系统。</w:t>
      </w:r>
    </w:p>
    <w:p w14:paraId="05F32EA6">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25.我单位项目管理人员兼任其它项目项目经理、技术负责人、安全总监职务的，自愿接受 50000 元/人的处罚，同时自愿接受 5000 元/天/人的处罚直至纠正为止。不足 22 天/月在现场的，自愿接受不足天数5000 元/天的处罚。项目经理或其他主要人员离开现场时间超过3天的，我单位承诺将派同样资质的人员来替换。在工作时间内，我单位主要人员未履行请假程序擅自离开现场不在现场的，自愿接受5000 元/天的处罚。</w:t>
      </w:r>
    </w:p>
    <w:p w14:paraId="316019BE">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26.贵单位可将履约检查或复（抽）查及人员出勤率情况等纳入对我单位的考评。</w:t>
      </w:r>
    </w:p>
    <w:p w14:paraId="5853B479">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27.我单位进场申报及日常考勤上报不及时的自愿接受贵单位按照相关规定的相应处罚 。</w:t>
      </w:r>
    </w:p>
    <w:p w14:paraId="092B6D7D">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28.针对我单位主要管理人员履约及考勤的罚则，自愿接受贵单位按合同、本承诺、贵单位的相关规定等执行。</w:t>
      </w:r>
    </w:p>
    <w:p w14:paraId="55E37D8B">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29.本着诚意履行合同的出发点，我单位郑重承诺本承诺书的最终解释由贵单位负责。</w:t>
      </w:r>
    </w:p>
    <w:p w14:paraId="67DD9CFC">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附件：1、调整项目人员申请表</w:t>
      </w:r>
    </w:p>
    <w:p w14:paraId="1FD297D5">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2、更换主要管理人员资历强制性要求对照表</w:t>
      </w:r>
    </w:p>
    <w:p w14:paraId="4BCB4BEC">
      <w:pPr>
        <w:spacing w:line="560" w:lineRule="exact"/>
        <w:ind w:left="140" w:right="186" w:firstLine="480" w:firstLineChars="200"/>
        <w:rPr>
          <w:rFonts w:hint="eastAsia" w:ascii="宋体" w:hAnsi="宋体" w:cs="宋体"/>
          <w:sz w:val="24"/>
          <w:szCs w:val="24"/>
          <w:highlight w:val="none"/>
        </w:rPr>
      </w:pPr>
      <w:r>
        <w:rPr>
          <w:rFonts w:hint="eastAsia" w:ascii="宋体" w:hAnsi="宋体" w:cs="宋体"/>
          <w:sz w:val="24"/>
          <w:szCs w:val="24"/>
          <w:highlight w:val="none"/>
        </w:rPr>
        <w:t>3、拟更换本项目的主要管理人员简历表</w:t>
      </w:r>
    </w:p>
    <w:p w14:paraId="6B2CCB14">
      <w:pPr>
        <w:widowControl/>
        <w:jc w:val="left"/>
        <w:rPr>
          <w:rFonts w:hint="eastAsia" w:ascii="宋体" w:hAnsi="宋体" w:cs="宋体"/>
          <w:sz w:val="24"/>
          <w:szCs w:val="24"/>
          <w:highlight w:val="none"/>
        </w:rPr>
        <w:sectPr>
          <w:pgSz w:w="11906" w:h="16838"/>
          <w:pgMar w:top="1134" w:right="1134" w:bottom="1134" w:left="1134" w:header="851" w:footer="992" w:gutter="0"/>
          <w:pgNumType w:fmt="decimal"/>
          <w:cols w:space="720" w:num="1"/>
          <w:docGrid w:type="lines" w:linePitch="312" w:charSpace="0"/>
        </w:sectPr>
      </w:pPr>
    </w:p>
    <w:tbl>
      <w:tblPr>
        <w:tblStyle w:val="14"/>
        <w:tblW w:w="8872" w:type="dxa"/>
        <w:tblInd w:w="15" w:type="dxa"/>
        <w:tblLayout w:type="autofit"/>
        <w:tblCellMar>
          <w:top w:w="0" w:type="dxa"/>
          <w:left w:w="0" w:type="dxa"/>
          <w:bottom w:w="0" w:type="dxa"/>
          <w:right w:w="0" w:type="dxa"/>
        </w:tblCellMar>
      </w:tblPr>
      <w:tblGrid>
        <w:gridCol w:w="1130"/>
        <w:gridCol w:w="1524"/>
        <w:gridCol w:w="6218"/>
      </w:tblGrid>
      <w:tr w14:paraId="0929699E">
        <w:tblPrEx>
          <w:tblCellMar>
            <w:top w:w="0" w:type="dxa"/>
            <w:left w:w="0" w:type="dxa"/>
            <w:bottom w:w="0" w:type="dxa"/>
            <w:right w:w="0" w:type="dxa"/>
          </w:tblCellMar>
        </w:tblPrEx>
        <w:trPr>
          <w:trHeight w:val="293" w:hRule="atLeast"/>
        </w:trPr>
        <w:tc>
          <w:tcPr>
            <w:tcW w:w="1130" w:type="dxa"/>
            <w:noWrap/>
            <w:tcMar>
              <w:top w:w="15" w:type="dxa"/>
              <w:left w:w="15" w:type="dxa"/>
              <w:bottom w:w="0" w:type="dxa"/>
              <w:right w:w="15" w:type="dxa"/>
            </w:tcMar>
            <w:vAlign w:val="center"/>
          </w:tcPr>
          <w:p w14:paraId="67D3C06E">
            <w:pPr>
              <w:widowControl/>
              <w:jc w:val="left"/>
              <w:textAlignment w:val="center"/>
              <w:rPr>
                <w:rFonts w:hint="eastAsia" w:ascii="宋体" w:hAnsi="宋体" w:cs="宋体"/>
                <w:sz w:val="24"/>
                <w:szCs w:val="24"/>
                <w:highlight w:val="none"/>
              </w:rPr>
            </w:pPr>
            <w:bookmarkStart w:id="624" w:name="page23"/>
            <w:bookmarkEnd w:id="624"/>
            <w:r>
              <w:rPr>
                <w:rFonts w:hint="eastAsia" w:ascii="宋体" w:hAnsi="宋体" w:cs="宋体"/>
                <w:kern w:val="0"/>
                <w:sz w:val="24"/>
                <w:szCs w:val="24"/>
                <w:highlight w:val="none"/>
              </w:rPr>
              <w:t>附件1：</w:t>
            </w:r>
          </w:p>
        </w:tc>
        <w:tc>
          <w:tcPr>
            <w:tcW w:w="1524" w:type="dxa"/>
            <w:noWrap/>
            <w:tcMar>
              <w:top w:w="15" w:type="dxa"/>
              <w:left w:w="15" w:type="dxa"/>
              <w:bottom w:w="0" w:type="dxa"/>
              <w:right w:w="15" w:type="dxa"/>
            </w:tcMar>
            <w:vAlign w:val="center"/>
          </w:tcPr>
          <w:p w14:paraId="71D0ADAA">
            <w:pPr>
              <w:rPr>
                <w:rFonts w:hint="eastAsia" w:ascii="宋体" w:hAnsi="宋体" w:cs="宋体"/>
                <w:sz w:val="24"/>
                <w:szCs w:val="24"/>
                <w:highlight w:val="none"/>
              </w:rPr>
            </w:pPr>
          </w:p>
        </w:tc>
        <w:tc>
          <w:tcPr>
            <w:tcW w:w="6218" w:type="dxa"/>
            <w:noWrap/>
            <w:tcMar>
              <w:top w:w="15" w:type="dxa"/>
              <w:left w:w="15" w:type="dxa"/>
              <w:bottom w:w="0" w:type="dxa"/>
              <w:right w:w="15" w:type="dxa"/>
            </w:tcMar>
            <w:vAlign w:val="center"/>
          </w:tcPr>
          <w:p w14:paraId="20550EA9">
            <w:pPr>
              <w:rPr>
                <w:rFonts w:hint="eastAsia" w:ascii="宋体" w:hAnsi="宋体" w:cs="宋体"/>
                <w:sz w:val="24"/>
                <w:szCs w:val="24"/>
                <w:highlight w:val="none"/>
              </w:rPr>
            </w:pPr>
          </w:p>
        </w:tc>
      </w:tr>
      <w:tr w14:paraId="639DB03D">
        <w:tblPrEx>
          <w:tblCellMar>
            <w:top w:w="0" w:type="dxa"/>
            <w:left w:w="0" w:type="dxa"/>
            <w:bottom w:w="0" w:type="dxa"/>
            <w:right w:w="0" w:type="dxa"/>
          </w:tblCellMar>
        </w:tblPrEx>
        <w:trPr>
          <w:trHeight w:val="572" w:hRule="atLeast"/>
        </w:trPr>
        <w:tc>
          <w:tcPr>
            <w:tcW w:w="0" w:type="auto"/>
            <w:gridSpan w:val="3"/>
            <w:noWrap/>
            <w:tcMar>
              <w:top w:w="15" w:type="dxa"/>
              <w:left w:w="15" w:type="dxa"/>
              <w:bottom w:w="0" w:type="dxa"/>
              <w:right w:w="15" w:type="dxa"/>
            </w:tcMar>
            <w:vAlign w:val="center"/>
          </w:tcPr>
          <w:p w14:paraId="6F9BC633">
            <w:pPr>
              <w:widowControl/>
              <w:jc w:val="center"/>
              <w:textAlignment w:val="center"/>
              <w:rPr>
                <w:rFonts w:hint="eastAsia" w:ascii="宋体" w:hAnsi="宋体" w:cs="宋体"/>
                <w:b/>
                <w:kern w:val="0"/>
                <w:sz w:val="40"/>
                <w:szCs w:val="40"/>
                <w:highlight w:val="none"/>
              </w:rPr>
            </w:pPr>
            <w:r>
              <w:rPr>
                <w:rFonts w:hint="eastAsia" w:ascii="宋体" w:hAnsi="宋体" w:cs="宋体"/>
                <w:b/>
                <w:kern w:val="0"/>
                <w:sz w:val="40"/>
                <w:szCs w:val="40"/>
                <w:highlight w:val="none"/>
              </w:rPr>
              <w:t>调整项目人员申请表</w:t>
            </w:r>
          </w:p>
        </w:tc>
      </w:tr>
      <w:tr w14:paraId="404DB5EC">
        <w:tblPrEx>
          <w:tblCellMar>
            <w:top w:w="0" w:type="dxa"/>
            <w:left w:w="0" w:type="dxa"/>
            <w:bottom w:w="0" w:type="dxa"/>
            <w:right w:w="0" w:type="dxa"/>
          </w:tblCellMar>
        </w:tblPrEx>
        <w:trPr>
          <w:trHeight w:val="293" w:hRule="atLeast"/>
        </w:trPr>
        <w:tc>
          <w:tcPr>
            <w:tcW w:w="0" w:type="auto"/>
            <w:noWrap/>
            <w:tcMar>
              <w:top w:w="15" w:type="dxa"/>
              <w:left w:w="15" w:type="dxa"/>
              <w:bottom w:w="0" w:type="dxa"/>
              <w:right w:w="15" w:type="dxa"/>
            </w:tcMar>
            <w:vAlign w:val="center"/>
          </w:tcPr>
          <w:p w14:paraId="58A55FD4">
            <w:pPr>
              <w:widowControl/>
              <w:jc w:val="left"/>
              <w:textAlignment w:val="center"/>
              <w:rPr>
                <w:rFonts w:hint="eastAsia" w:ascii="宋体" w:hAnsi="宋体" w:cs="宋体"/>
                <w:kern w:val="0"/>
                <w:sz w:val="22"/>
                <w:highlight w:val="none"/>
              </w:rPr>
            </w:pPr>
            <w:bookmarkStart w:id="625" w:name="_Hlk47084563"/>
          </w:p>
          <w:p w14:paraId="6A81CCA0">
            <w:pPr>
              <w:widowControl/>
              <w:jc w:val="left"/>
              <w:textAlignment w:val="center"/>
              <w:rPr>
                <w:rFonts w:hint="eastAsia" w:ascii="宋体" w:hAnsi="宋体" w:cs="宋体"/>
                <w:sz w:val="22"/>
                <w:highlight w:val="none"/>
              </w:rPr>
            </w:pPr>
            <w:r>
              <w:rPr>
                <w:rFonts w:hint="eastAsia" w:ascii="宋体" w:hAnsi="宋体" w:cs="宋体"/>
                <w:kern w:val="0"/>
                <w:sz w:val="22"/>
                <w:highlight w:val="none"/>
              </w:rPr>
              <w:t>工程名称：</w:t>
            </w:r>
          </w:p>
        </w:tc>
        <w:tc>
          <w:tcPr>
            <w:tcW w:w="0" w:type="auto"/>
            <w:noWrap/>
            <w:tcMar>
              <w:top w:w="15" w:type="dxa"/>
              <w:left w:w="15" w:type="dxa"/>
              <w:bottom w:w="0" w:type="dxa"/>
              <w:right w:w="15" w:type="dxa"/>
            </w:tcMar>
            <w:vAlign w:val="center"/>
          </w:tcPr>
          <w:p w14:paraId="3FF72162">
            <w:pPr>
              <w:rPr>
                <w:rFonts w:hint="eastAsia" w:ascii="宋体" w:hAnsi="宋体" w:cs="宋体"/>
                <w:sz w:val="22"/>
                <w:highlight w:val="none"/>
              </w:rPr>
            </w:pPr>
          </w:p>
        </w:tc>
        <w:tc>
          <w:tcPr>
            <w:tcW w:w="0" w:type="auto"/>
            <w:noWrap/>
            <w:tcMar>
              <w:top w:w="15" w:type="dxa"/>
              <w:left w:w="15" w:type="dxa"/>
              <w:bottom w:w="0" w:type="dxa"/>
              <w:right w:w="15" w:type="dxa"/>
            </w:tcMar>
            <w:vAlign w:val="center"/>
          </w:tcPr>
          <w:p w14:paraId="100CD589">
            <w:pPr>
              <w:rPr>
                <w:rFonts w:hint="eastAsia" w:ascii="宋体" w:hAnsi="宋体" w:cs="宋体"/>
                <w:sz w:val="22"/>
                <w:highlight w:val="none"/>
              </w:rPr>
            </w:pPr>
            <w:r>
              <w:rPr>
                <w:rFonts w:hint="eastAsia" w:ascii="宋体" w:hAnsi="宋体" w:cs="宋体"/>
                <w:sz w:val="22"/>
                <w:highlight w:val="none"/>
              </w:rPr>
              <w:t xml:space="preserve">                          </w:t>
            </w:r>
          </w:p>
          <w:p w14:paraId="0C656B89">
            <w:pPr>
              <w:rPr>
                <w:rFonts w:hint="eastAsia" w:ascii="宋体" w:hAnsi="宋体" w:cs="宋体"/>
                <w:sz w:val="22"/>
                <w:highlight w:val="none"/>
              </w:rPr>
            </w:pPr>
            <w:r>
              <w:rPr>
                <w:rFonts w:hint="eastAsia" w:ascii="宋体" w:hAnsi="宋体" w:cs="宋体"/>
                <w:sz w:val="22"/>
                <w:highlight w:val="none"/>
              </w:rPr>
              <w:t xml:space="preserve">                         甲方项目部：</w:t>
            </w:r>
          </w:p>
          <w:bookmarkEnd w:id="625"/>
        </w:tc>
      </w:tr>
      <w:tr w14:paraId="2C487878">
        <w:tblPrEx>
          <w:tblCellMar>
            <w:top w:w="0" w:type="dxa"/>
            <w:left w:w="0" w:type="dxa"/>
            <w:bottom w:w="0" w:type="dxa"/>
            <w:right w:w="0" w:type="dxa"/>
          </w:tblCellMar>
        </w:tblPrEx>
        <w:trPr>
          <w:trHeight w:val="4486" w:hRule="atLeast"/>
        </w:trPr>
        <w:tc>
          <w:tcPr>
            <w:tcW w:w="88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top"/>
          </w:tcPr>
          <w:p w14:paraId="35E622AA">
            <w:pPr>
              <w:widowControl/>
              <w:jc w:val="left"/>
              <w:textAlignment w:val="top"/>
              <w:rPr>
                <w:rStyle w:val="23"/>
                <w:rFonts w:hint="eastAsia" w:ascii="宋体" w:hAnsi="宋体" w:eastAsia="宋体" w:cs="宋体"/>
                <w:color w:val="auto"/>
                <w:sz w:val="22"/>
                <w:szCs w:val="22"/>
                <w:highlight w:val="none"/>
              </w:rPr>
            </w:pPr>
            <w:r>
              <w:rPr>
                <w:rStyle w:val="23"/>
                <w:rFonts w:hint="eastAsia" w:ascii="宋体" w:hAnsi="宋体" w:eastAsia="宋体" w:cs="宋体"/>
                <w:color w:val="auto"/>
                <w:sz w:val="22"/>
                <w:szCs w:val="22"/>
                <w:highlight w:val="none"/>
              </w:rPr>
              <w:t>致：（监理单位）</w:t>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t xml:space="preserve">我单位在投标书中委任的 </w:t>
            </w:r>
            <w:r>
              <w:rPr>
                <w:rFonts w:hint="default"/>
                <w:color w:val="auto"/>
                <w:highlight w:val="none"/>
              </w:rPr>
              <w:t>（岗位） （姓名）</w:t>
            </w:r>
            <w:r>
              <w:rPr>
                <w:rStyle w:val="23"/>
                <w:rFonts w:hint="eastAsia" w:ascii="宋体" w:hAnsi="宋体" w:eastAsia="宋体" w:cs="宋体"/>
                <w:color w:val="auto"/>
                <w:sz w:val="22"/>
                <w:szCs w:val="22"/>
                <w:highlight w:val="none"/>
              </w:rPr>
              <w:t xml:space="preserve">同志由于原因，不能继续担任本项目的 </w:t>
            </w:r>
            <w:r>
              <w:rPr>
                <w:rFonts w:hint="default"/>
                <w:color w:val="auto"/>
                <w:highlight w:val="none"/>
              </w:rPr>
              <w:t xml:space="preserve">（岗位） </w:t>
            </w:r>
            <w:r>
              <w:rPr>
                <w:rStyle w:val="23"/>
                <w:rFonts w:hint="eastAsia" w:ascii="宋体" w:hAnsi="宋体" w:eastAsia="宋体" w:cs="宋体"/>
                <w:color w:val="auto"/>
                <w:sz w:val="22"/>
                <w:szCs w:val="22"/>
                <w:highlight w:val="none"/>
              </w:rPr>
              <w:t xml:space="preserve">职务，现申请更换我单位 （姓名） 同志担任本项目的 </w:t>
            </w:r>
            <w:r>
              <w:rPr>
                <w:rFonts w:hint="default"/>
                <w:color w:val="auto"/>
                <w:highlight w:val="none"/>
              </w:rPr>
              <w:t>（岗位）</w:t>
            </w:r>
            <w:r>
              <w:rPr>
                <w:rStyle w:val="23"/>
                <w:rFonts w:hint="eastAsia" w:ascii="宋体" w:hAnsi="宋体" w:eastAsia="宋体" w:cs="宋体"/>
                <w:color w:val="auto"/>
                <w:sz w:val="22"/>
                <w:szCs w:val="22"/>
                <w:highlight w:val="none"/>
              </w:rPr>
              <w:t xml:space="preserve"> 。请予以审批！</w:t>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t>附件：</w:t>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t xml:space="preserve">1、 关于调整 （岗位） 的致函                                                 </w:t>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t>2、 调整人员资质证书等</w:t>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t>施工单位： （签章）</w:t>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t>项目经理： （签章）</w:t>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br w:type="textWrapping"/>
            </w:r>
            <w:r>
              <w:rPr>
                <w:rStyle w:val="23"/>
                <w:rFonts w:hint="eastAsia" w:ascii="宋体" w:hAnsi="宋体" w:eastAsia="宋体" w:cs="宋体"/>
                <w:color w:val="auto"/>
                <w:sz w:val="22"/>
                <w:szCs w:val="22"/>
                <w:highlight w:val="none"/>
              </w:rPr>
              <w:t>日 期:</w:t>
            </w:r>
          </w:p>
          <w:p w14:paraId="179354F5">
            <w:pPr>
              <w:widowControl/>
              <w:jc w:val="left"/>
              <w:textAlignment w:val="top"/>
              <w:rPr>
                <w:rStyle w:val="23"/>
                <w:rFonts w:hint="eastAsia" w:ascii="宋体" w:hAnsi="宋体" w:eastAsia="宋体" w:cs="宋体"/>
                <w:color w:val="auto"/>
                <w:sz w:val="22"/>
                <w:szCs w:val="22"/>
                <w:highlight w:val="none"/>
              </w:rPr>
            </w:pPr>
          </w:p>
        </w:tc>
      </w:tr>
      <w:tr w14:paraId="6895A26F">
        <w:tblPrEx>
          <w:tblCellMar>
            <w:top w:w="0" w:type="dxa"/>
            <w:left w:w="0" w:type="dxa"/>
            <w:bottom w:w="0" w:type="dxa"/>
            <w:right w:w="0" w:type="dxa"/>
          </w:tblCellMar>
        </w:tblPrEx>
        <w:trPr>
          <w:trHeight w:val="2730" w:hRule="atLeast"/>
        </w:trPr>
        <w:tc>
          <w:tcPr>
            <w:tcW w:w="88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bottom"/>
          </w:tcPr>
          <w:p w14:paraId="01F56B1F">
            <w:pPr>
              <w:widowControl/>
              <w:spacing w:after="220"/>
              <w:jc w:val="left"/>
              <w:textAlignment w:val="bottom"/>
              <w:rPr>
                <w:rFonts w:hint="eastAsia" w:ascii="宋体" w:hAnsi="宋体" w:cs="宋体"/>
                <w:kern w:val="0"/>
                <w:sz w:val="22"/>
                <w:highlight w:val="none"/>
              </w:rPr>
            </w:pPr>
          </w:p>
          <w:p w14:paraId="2E4E4759">
            <w:pPr>
              <w:widowControl/>
              <w:spacing w:after="220"/>
              <w:jc w:val="left"/>
              <w:textAlignment w:val="bottom"/>
              <w:rPr>
                <w:rFonts w:hint="eastAsia" w:ascii="宋体" w:hAnsi="宋体" w:cs="宋体"/>
                <w:sz w:val="22"/>
                <w:highlight w:val="none"/>
              </w:rPr>
            </w:pPr>
            <w:r>
              <w:rPr>
                <w:rFonts w:hint="eastAsia" w:ascii="宋体" w:hAnsi="宋体" w:cs="宋体"/>
                <w:kern w:val="0"/>
                <w:sz w:val="22"/>
                <w:highlight w:val="none"/>
              </w:rPr>
              <w:t>监理工程师审查意见：                                日期：</w:t>
            </w:r>
            <w:r>
              <w:rPr>
                <w:rFonts w:hint="eastAsia" w:ascii="宋体" w:hAnsi="宋体" w:cs="宋体"/>
                <w:kern w:val="0"/>
                <w:sz w:val="22"/>
                <w:highlight w:val="none"/>
              </w:rPr>
              <w:br w:type="textWrapping"/>
            </w:r>
            <w:r>
              <w:rPr>
                <w:rFonts w:hint="eastAsia" w:ascii="宋体" w:hAnsi="宋体" w:cs="宋体"/>
                <w:kern w:val="0"/>
                <w:sz w:val="22"/>
                <w:highlight w:val="none"/>
              </w:rPr>
              <w:br w:type="textWrapping"/>
            </w:r>
            <w:r>
              <w:rPr>
                <w:rFonts w:hint="eastAsia" w:ascii="宋体" w:hAnsi="宋体" w:cs="宋体"/>
                <w:kern w:val="0"/>
                <w:sz w:val="22"/>
                <w:highlight w:val="none"/>
              </w:rPr>
              <w:br w:type="textWrapping"/>
            </w:r>
            <w:r>
              <w:rPr>
                <w:rFonts w:hint="eastAsia" w:ascii="宋体" w:hAnsi="宋体" w:cs="宋体"/>
                <w:kern w:val="0"/>
                <w:sz w:val="22"/>
                <w:highlight w:val="none"/>
              </w:rPr>
              <w:br w:type="textWrapping"/>
            </w:r>
            <w:r>
              <w:rPr>
                <w:rFonts w:hint="eastAsia" w:ascii="宋体" w:hAnsi="宋体" w:cs="宋体"/>
                <w:kern w:val="0"/>
                <w:sz w:val="22"/>
                <w:highlight w:val="none"/>
              </w:rPr>
              <w:t>项目监理机构：（签章）                              日期：</w:t>
            </w:r>
            <w:r>
              <w:rPr>
                <w:rFonts w:hint="eastAsia" w:ascii="宋体" w:hAnsi="宋体" w:cs="宋体"/>
                <w:kern w:val="0"/>
                <w:sz w:val="22"/>
                <w:highlight w:val="none"/>
              </w:rPr>
              <w:br w:type="textWrapping"/>
            </w:r>
            <w:r>
              <w:rPr>
                <w:rFonts w:hint="eastAsia" w:ascii="宋体" w:hAnsi="宋体" w:cs="宋体"/>
                <w:kern w:val="0"/>
                <w:sz w:val="22"/>
                <w:highlight w:val="none"/>
              </w:rPr>
              <w:br w:type="textWrapping"/>
            </w:r>
            <w:r>
              <w:rPr>
                <w:rFonts w:hint="eastAsia" w:ascii="宋体" w:hAnsi="宋体" w:cs="宋体"/>
                <w:kern w:val="0"/>
                <w:sz w:val="22"/>
                <w:highlight w:val="none"/>
              </w:rPr>
              <w:br w:type="textWrapping"/>
            </w:r>
            <w:r>
              <w:rPr>
                <w:rFonts w:hint="eastAsia" w:ascii="宋体" w:hAnsi="宋体" w:cs="宋体"/>
                <w:kern w:val="0"/>
                <w:sz w:val="22"/>
                <w:highlight w:val="none"/>
              </w:rPr>
              <w:br w:type="textWrapping"/>
            </w:r>
            <w:r>
              <w:rPr>
                <w:rFonts w:hint="eastAsia" w:ascii="宋体" w:hAnsi="宋体" w:cs="宋体"/>
                <w:kern w:val="0"/>
                <w:sz w:val="22"/>
                <w:highlight w:val="none"/>
              </w:rPr>
              <w:t>总/专业监理工程师：（签章）                         日期：</w:t>
            </w:r>
          </w:p>
        </w:tc>
      </w:tr>
      <w:tr w14:paraId="3DEEE7C3">
        <w:tblPrEx>
          <w:tblCellMar>
            <w:top w:w="0" w:type="dxa"/>
            <w:left w:w="0" w:type="dxa"/>
            <w:bottom w:w="0" w:type="dxa"/>
            <w:right w:w="0" w:type="dxa"/>
          </w:tblCellMar>
        </w:tblPrEx>
        <w:trPr>
          <w:trHeight w:val="1185" w:hRule="atLeast"/>
        </w:trPr>
        <w:tc>
          <w:tcPr>
            <w:tcW w:w="11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12DE986">
            <w:pPr>
              <w:widowControl/>
              <w:jc w:val="center"/>
              <w:textAlignment w:val="center"/>
              <w:rPr>
                <w:rFonts w:hint="eastAsia" w:ascii="宋体" w:hAnsi="宋体" w:cs="宋体"/>
                <w:sz w:val="22"/>
                <w:highlight w:val="none"/>
              </w:rPr>
            </w:pPr>
            <w:r>
              <w:rPr>
                <w:rFonts w:hint="eastAsia" w:ascii="宋体" w:hAnsi="宋体" w:cs="宋体"/>
                <w:kern w:val="0"/>
                <w:sz w:val="22"/>
                <w:highlight w:val="none"/>
              </w:rPr>
              <w:t>建设单位意见</w:t>
            </w:r>
          </w:p>
        </w:tc>
        <w:tc>
          <w:tcPr>
            <w:tcW w:w="1524"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8C03C83">
            <w:pPr>
              <w:widowControl/>
              <w:jc w:val="center"/>
              <w:textAlignment w:val="center"/>
              <w:rPr>
                <w:rFonts w:hint="eastAsia" w:ascii="宋体" w:hAnsi="宋体" w:cs="宋体"/>
                <w:sz w:val="22"/>
                <w:highlight w:val="none"/>
              </w:rPr>
            </w:pPr>
            <w:r>
              <w:rPr>
                <w:rFonts w:hint="eastAsia" w:ascii="宋体" w:hAnsi="宋体" w:cs="宋体"/>
                <w:kern w:val="0"/>
                <w:sz w:val="22"/>
                <w:highlight w:val="none"/>
              </w:rPr>
              <w:t>贵单位项目部</w:t>
            </w:r>
          </w:p>
        </w:tc>
        <w:tc>
          <w:tcPr>
            <w:tcW w:w="6218"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bottom"/>
          </w:tcPr>
          <w:p w14:paraId="123F526A">
            <w:pPr>
              <w:widowControl/>
              <w:jc w:val="left"/>
              <w:textAlignment w:val="bottom"/>
              <w:rPr>
                <w:rFonts w:hint="eastAsia" w:ascii="宋体" w:hAnsi="宋体" w:cs="宋体"/>
                <w:sz w:val="22"/>
                <w:highlight w:val="none"/>
              </w:rPr>
            </w:pPr>
            <w:r>
              <w:rPr>
                <w:rFonts w:hint="eastAsia" w:ascii="宋体" w:hAnsi="宋体" w:cs="宋体"/>
                <w:kern w:val="0"/>
                <w:sz w:val="22"/>
                <w:highlight w:val="none"/>
              </w:rPr>
              <w:t xml:space="preserve">                             签章：</w:t>
            </w:r>
            <w:r>
              <w:rPr>
                <w:rFonts w:hint="eastAsia" w:ascii="宋体" w:hAnsi="宋体" w:cs="宋体"/>
                <w:kern w:val="0"/>
                <w:sz w:val="22"/>
                <w:highlight w:val="none"/>
              </w:rPr>
              <w:br w:type="textWrapping"/>
            </w:r>
            <w:r>
              <w:rPr>
                <w:rFonts w:hint="eastAsia" w:ascii="宋体" w:hAnsi="宋体" w:cs="宋体"/>
                <w:kern w:val="0"/>
                <w:sz w:val="22"/>
                <w:highlight w:val="none"/>
              </w:rPr>
              <w:br w:type="textWrapping"/>
            </w:r>
            <w:r>
              <w:rPr>
                <w:rFonts w:hint="eastAsia" w:ascii="宋体" w:hAnsi="宋体" w:cs="宋体"/>
                <w:kern w:val="0"/>
                <w:sz w:val="22"/>
                <w:highlight w:val="none"/>
              </w:rPr>
              <w:t xml:space="preserve">                             日期：</w:t>
            </w:r>
          </w:p>
        </w:tc>
      </w:tr>
      <w:tr w14:paraId="69331D81">
        <w:tblPrEx>
          <w:tblCellMar>
            <w:top w:w="0" w:type="dxa"/>
            <w:left w:w="0" w:type="dxa"/>
            <w:bottom w:w="0" w:type="dxa"/>
            <w:right w:w="0" w:type="dxa"/>
          </w:tblCellMar>
        </w:tblPrEx>
        <w:trPr>
          <w:trHeight w:val="11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0E8F636">
            <w:pPr>
              <w:widowControl/>
              <w:jc w:val="left"/>
              <w:rPr>
                <w:rFonts w:hint="eastAsia" w:ascii="宋体" w:hAnsi="宋体" w:cs="宋体"/>
                <w:sz w:val="22"/>
                <w:highlight w:val="none"/>
              </w:rPr>
            </w:pPr>
          </w:p>
        </w:tc>
        <w:tc>
          <w:tcPr>
            <w:tcW w:w="1524"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7F1D9F09">
            <w:pPr>
              <w:widowControl/>
              <w:jc w:val="center"/>
              <w:textAlignment w:val="center"/>
              <w:rPr>
                <w:rFonts w:hint="eastAsia" w:ascii="宋体" w:hAnsi="宋体" w:cs="宋体"/>
                <w:sz w:val="22"/>
                <w:highlight w:val="none"/>
              </w:rPr>
            </w:pPr>
            <w:r>
              <w:rPr>
                <w:rFonts w:hint="eastAsia" w:ascii="宋体" w:hAnsi="宋体" w:cs="宋体"/>
                <w:kern w:val="0"/>
                <w:sz w:val="22"/>
                <w:highlight w:val="none"/>
              </w:rPr>
              <w:t>安全质量管理中心</w:t>
            </w:r>
          </w:p>
        </w:tc>
        <w:tc>
          <w:tcPr>
            <w:tcW w:w="6218"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bottom"/>
          </w:tcPr>
          <w:p w14:paraId="66D717DA">
            <w:pPr>
              <w:widowControl/>
              <w:jc w:val="left"/>
              <w:textAlignment w:val="bottom"/>
              <w:rPr>
                <w:rFonts w:hint="eastAsia" w:ascii="宋体" w:hAnsi="宋体" w:cs="宋体"/>
                <w:sz w:val="22"/>
                <w:highlight w:val="none"/>
              </w:rPr>
            </w:pPr>
            <w:r>
              <w:rPr>
                <w:rFonts w:hint="eastAsia" w:ascii="宋体" w:hAnsi="宋体" w:cs="宋体"/>
                <w:kern w:val="0"/>
                <w:sz w:val="22"/>
                <w:highlight w:val="none"/>
              </w:rPr>
              <w:t xml:space="preserve">                             签章：</w:t>
            </w:r>
            <w:r>
              <w:rPr>
                <w:rFonts w:hint="eastAsia" w:ascii="宋体" w:hAnsi="宋体" w:cs="宋体"/>
                <w:kern w:val="0"/>
                <w:sz w:val="22"/>
                <w:highlight w:val="none"/>
              </w:rPr>
              <w:br w:type="textWrapping"/>
            </w:r>
            <w:r>
              <w:rPr>
                <w:rFonts w:hint="eastAsia" w:ascii="宋体" w:hAnsi="宋体" w:cs="宋体"/>
                <w:kern w:val="0"/>
                <w:sz w:val="22"/>
                <w:highlight w:val="none"/>
              </w:rPr>
              <w:br w:type="textWrapping"/>
            </w:r>
            <w:r>
              <w:rPr>
                <w:rFonts w:hint="eastAsia" w:ascii="宋体" w:hAnsi="宋体" w:cs="宋体"/>
                <w:kern w:val="0"/>
                <w:sz w:val="22"/>
                <w:highlight w:val="none"/>
              </w:rPr>
              <w:t xml:space="preserve">                             日期：</w:t>
            </w:r>
          </w:p>
        </w:tc>
      </w:tr>
      <w:tr w14:paraId="0D63089A">
        <w:tblPrEx>
          <w:tblCellMar>
            <w:top w:w="0" w:type="dxa"/>
            <w:left w:w="0" w:type="dxa"/>
            <w:bottom w:w="0" w:type="dxa"/>
            <w:right w:w="0" w:type="dxa"/>
          </w:tblCellMar>
        </w:tblPrEx>
        <w:trPr>
          <w:trHeight w:val="11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8D2D7E6">
            <w:pPr>
              <w:widowControl/>
              <w:jc w:val="left"/>
              <w:rPr>
                <w:rFonts w:hint="eastAsia" w:ascii="宋体" w:hAnsi="宋体" w:cs="宋体"/>
                <w:sz w:val="22"/>
                <w:highlight w:val="none"/>
              </w:rPr>
            </w:pPr>
          </w:p>
        </w:tc>
        <w:tc>
          <w:tcPr>
            <w:tcW w:w="1524"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D7CC9C6">
            <w:pPr>
              <w:widowControl/>
              <w:jc w:val="center"/>
              <w:textAlignment w:val="center"/>
              <w:rPr>
                <w:rFonts w:hint="eastAsia" w:ascii="宋体" w:hAnsi="宋体" w:cs="宋体"/>
                <w:sz w:val="22"/>
                <w:highlight w:val="none"/>
              </w:rPr>
            </w:pPr>
            <w:r>
              <w:rPr>
                <w:rFonts w:hint="eastAsia" w:ascii="宋体" w:hAnsi="宋体" w:cs="宋体"/>
                <w:kern w:val="0"/>
                <w:sz w:val="22"/>
                <w:highlight w:val="none"/>
              </w:rPr>
              <w:t>合同预算部</w:t>
            </w:r>
          </w:p>
        </w:tc>
        <w:tc>
          <w:tcPr>
            <w:tcW w:w="6218"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bottom"/>
          </w:tcPr>
          <w:p w14:paraId="75BC50A1">
            <w:pPr>
              <w:widowControl/>
              <w:jc w:val="left"/>
              <w:textAlignment w:val="bottom"/>
              <w:rPr>
                <w:rFonts w:hint="eastAsia" w:ascii="宋体" w:hAnsi="宋体" w:cs="宋体"/>
                <w:sz w:val="22"/>
                <w:highlight w:val="none"/>
              </w:rPr>
            </w:pPr>
            <w:r>
              <w:rPr>
                <w:rFonts w:hint="eastAsia" w:ascii="宋体" w:hAnsi="宋体" w:cs="宋体"/>
                <w:kern w:val="0"/>
                <w:sz w:val="22"/>
                <w:highlight w:val="none"/>
              </w:rPr>
              <w:t xml:space="preserve">                             签章：</w:t>
            </w:r>
            <w:r>
              <w:rPr>
                <w:rFonts w:hint="eastAsia" w:ascii="宋体" w:hAnsi="宋体" w:cs="宋体"/>
                <w:kern w:val="0"/>
                <w:sz w:val="22"/>
                <w:highlight w:val="none"/>
              </w:rPr>
              <w:br w:type="textWrapping"/>
            </w:r>
            <w:r>
              <w:rPr>
                <w:rFonts w:hint="eastAsia" w:ascii="宋体" w:hAnsi="宋体" w:cs="宋体"/>
                <w:kern w:val="0"/>
                <w:sz w:val="22"/>
                <w:highlight w:val="none"/>
              </w:rPr>
              <w:br w:type="textWrapping"/>
            </w:r>
            <w:r>
              <w:rPr>
                <w:rFonts w:hint="eastAsia" w:ascii="宋体" w:hAnsi="宋体" w:cs="宋体"/>
                <w:kern w:val="0"/>
                <w:sz w:val="22"/>
                <w:highlight w:val="none"/>
              </w:rPr>
              <w:t xml:space="preserve">                             日期：</w:t>
            </w:r>
          </w:p>
        </w:tc>
      </w:tr>
      <w:tr w14:paraId="4866EE4B">
        <w:tblPrEx>
          <w:tblCellMar>
            <w:top w:w="0" w:type="dxa"/>
            <w:left w:w="0" w:type="dxa"/>
            <w:bottom w:w="0" w:type="dxa"/>
            <w:right w:w="0" w:type="dxa"/>
          </w:tblCellMar>
        </w:tblPrEx>
        <w:trPr>
          <w:trHeight w:val="11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AFE98A9">
            <w:pPr>
              <w:widowControl/>
              <w:jc w:val="left"/>
              <w:rPr>
                <w:rFonts w:hint="eastAsia" w:ascii="宋体" w:hAnsi="宋体" w:cs="宋体"/>
                <w:sz w:val="22"/>
                <w:highlight w:val="none"/>
              </w:rPr>
            </w:pPr>
          </w:p>
        </w:tc>
        <w:tc>
          <w:tcPr>
            <w:tcW w:w="1524"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02357885">
            <w:pPr>
              <w:widowControl/>
              <w:jc w:val="center"/>
              <w:textAlignment w:val="center"/>
              <w:rPr>
                <w:rFonts w:hint="eastAsia" w:ascii="宋体" w:hAnsi="宋体" w:cs="宋体"/>
                <w:sz w:val="22"/>
                <w:highlight w:val="none"/>
              </w:rPr>
            </w:pPr>
            <w:r>
              <w:rPr>
                <w:rFonts w:hint="eastAsia" w:ascii="宋体" w:hAnsi="宋体" w:cs="宋体"/>
                <w:kern w:val="0"/>
                <w:sz w:val="22"/>
                <w:highlight w:val="none"/>
              </w:rPr>
              <w:t>贵单位分管项目部领导</w:t>
            </w:r>
          </w:p>
        </w:tc>
        <w:tc>
          <w:tcPr>
            <w:tcW w:w="6218"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bottom"/>
          </w:tcPr>
          <w:p w14:paraId="427A02C6">
            <w:pPr>
              <w:widowControl/>
              <w:jc w:val="left"/>
              <w:textAlignment w:val="bottom"/>
              <w:rPr>
                <w:rFonts w:hint="eastAsia" w:ascii="宋体" w:hAnsi="宋体" w:cs="宋体"/>
                <w:sz w:val="22"/>
                <w:highlight w:val="none"/>
              </w:rPr>
            </w:pPr>
            <w:r>
              <w:rPr>
                <w:rFonts w:hint="eastAsia" w:ascii="宋体" w:hAnsi="宋体" w:cs="宋体"/>
                <w:kern w:val="0"/>
                <w:sz w:val="22"/>
                <w:highlight w:val="none"/>
              </w:rPr>
              <w:t xml:space="preserve">                             签章：</w:t>
            </w:r>
            <w:r>
              <w:rPr>
                <w:rFonts w:hint="eastAsia" w:ascii="宋体" w:hAnsi="宋体" w:cs="宋体"/>
                <w:kern w:val="0"/>
                <w:sz w:val="22"/>
                <w:highlight w:val="none"/>
              </w:rPr>
              <w:br w:type="textWrapping"/>
            </w:r>
            <w:r>
              <w:rPr>
                <w:rFonts w:hint="eastAsia" w:ascii="宋体" w:hAnsi="宋体" w:cs="宋体"/>
                <w:kern w:val="0"/>
                <w:sz w:val="22"/>
                <w:highlight w:val="none"/>
              </w:rPr>
              <w:br w:type="textWrapping"/>
            </w:r>
            <w:r>
              <w:rPr>
                <w:rFonts w:hint="eastAsia" w:ascii="宋体" w:hAnsi="宋体" w:cs="宋体"/>
                <w:kern w:val="0"/>
                <w:sz w:val="22"/>
                <w:highlight w:val="none"/>
              </w:rPr>
              <w:t xml:space="preserve">                             日期：</w:t>
            </w:r>
          </w:p>
        </w:tc>
      </w:tr>
      <w:tr w14:paraId="01D52C35">
        <w:tblPrEx>
          <w:tblCellMar>
            <w:top w:w="0" w:type="dxa"/>
            <w:left w:w="0" w:type="dxa"/>
            <w:bottom w:w="0" w:type="dxa"/>
            <w:right w:w="0" w:type="dxa"/>
          </w:tblCellMar>
        </w:tblPrEx>
        <w:trPr>
          <w:trHeight w:val="899" w:hRule="atLeast"/>
        </w:trPr>
        <w:tc>
          <w:tcPr>
            <w:tcW w:w="8872" w:type="dxa"/>
            <w:gridSpan w:val="3"/>
            <w:noWrap w:val="0"/>
            <w:tcMar>
              <w:top w:w="15" w:type="dxa"/>
              <w:left w:w="15" w:type="dxa"/>
              <w:bottom w:w="0" w:type="dxa"/>
              <w:right w:w="15" w:type="dxa"/>
            </w:tcMar>
            <w:vAlign w:val="center"/>
          </w:tcPr>
          <w:p w14:paraId="26AED7AD">
            <w:pPr>
              <w:widowControl/>
              <w:jc w:val="left"/>
              <w:textAlignment w:val="center"/>
              <w:rPr>
                <w:rFonts w:hint="eastAsia" w:ascii="宋体" w:hAnsi="宋体" w:cs="宋体"/>
                <w:sz w:val="22"/>
                <w:highlight w:val="none"/>
              </w:rPr>
            </w:pPr>
            <w:r>
              <w:rPr>
                <w:rFonts w:hint="eastAsia" w:ascii="宋体" w:hAnsi="宋体" w:cs="宋体"/>
                <w:kern w:val="0"/>
                <w:sz w:val="22"/>
                <w:highlight w:val="none"/>
              </w:rPr>
              <w:t>本表一式五份，建设单位三份，监理、施工单位各一份。</w:t>
            </w:r>
            <w:r>
              <w:rPr>
                <w:rFonts w:hint="eastAsia" w:ascii="宋体" w:hAnsi="宋体" w:cs="宋体"/>
                <w:kern w:val="0"/>
                <w:sz w:val="22"/>
                <w:highlight w:val="none"/>
              </w:rPr>
              <w:br w:type="textWrapping"/>
            </w:r>
            <w:r>
              <w:rPr>
                <w:rFonts w:hint="eastAsia" w:ascii="宋体" w:hAnsi="宋体" w:cs="宋体"/>
                <w:kern w:val="0"/>
                <w:sz w:val="22"/>
                <w:highlight w:val="none"/>
              </w:rPr>
              <w:t>说明：更换申请按此表填写并附相关更换人员证件扫描件（项目经理证/总监证、职称证、安全资格证、学历证等）并附人员简历，同时需要有母贵单位或集团贵单位开具的更换人员的函和相关申请。</w:t>
            </w:r>
          </w:p>
        </w:tc>
      </w:tr>
    </w:tbl>
    <w:p w14:paraId="7184FF8C">
      <w:pPr>
        <w:widowControl/>
        <w:jc w:val="left"/>
        <w:rPr>
          <w:rFonts w:hint="eastAsia" w:ascii="宋体" w:hAnsi="宋体" w:cs="宋体"/>
          <w:sz w:val="36"/>
          <w:szCs w:val="24"/>
          <w:highlight w:val="none"/>
        </w:rPr>
        <w:sectPr>
          <w:pgSz w:w="11906" w:h="16838"/>
          <w:pgMar w:top="1417" w:right="1361" w:bottom="1417" w:left="1361" w:header="851" w:footer="992" w:gutter="0"/>
          <w:pgNumType w:fmt="decimal"/>
          <w:cols w:space="720" w:num="1"/>
          <w:docGrid w:type="lines" w:linePitch="312" w:charSpace="0"/>
        </w:sectPr>
      </w:pPr>
    </w:p>
    <w:tbl>
      <w:tblPr>
        <w:tblStyle w:val="14"/>
        <w:tblW w:w="14034" w:type="dxa"/>
        <w:tblInd w:w="15" w:type="dxa"/>
        <w:tblLayout w:type="autofit"/>
        <w:tblCellMar>
          <w:top w:w="0" w:type="dxa"/>
          <w:left w:w="0" w:type="dxa"/>
          <w:bottom w:w="0" w:type="dxa"/>
          <w:right w:w="0" w:type="dxa"/>
        </w:tblCellMar>
      </w:tblPr>
      <w:tblGrid>
        <w:gridCol w:w="1277"/>
        <w:gridCol w:w="2285"/>
        <w:gridCol w:w="1710"/>
        <w:gridCol w:w="3150"/>
        <w:gridCol w:w="2790"/>
        <w:gridCol w:w="3050"/>
      </w:tblGrid>
      <w:tr w14:paraId="5F4D333D">
        <w:tblPrEx>
          <w:tblCellMar>
            <w:top w:w="0" w:type="dxa"/>
            <w:left w:w="0" w:type="dxa"/>
            <w:bottom w:w="0" w:type="dxa"/>
            <w:right w:w="0" w:type="dxa"/>
          </w:tblCellMar>
        </w:tblPrEx>
        <w:trPr>
          <w:trHeight w:val="327" w:hRule="atLeast"/>
        </w:trPr>
        <w:tc>
          <w:tcPr>
            <w:tcW w:w="1277" w:type="dxa"/>
            <w:noWrap/>
            <w:tcMar>
              <w:top w:w="15" w:type="dxa"/>
              <w:left w:w="15" w:type="dxa"/>
              <w:bottom w:w="0" w:type="dxa"/>
              <w:right w:w="15" w:type="dxa"/>
            </w:tcMar>
            <w:vAlign w:val="center"/>
          </w:tcPr>
          <w:p w14:paraId="4D8CF16A">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附件2：</w:t>
            </w:r>
          </w:p>
        </w:tc>
        <w:tc>
          <w:tcPr>
            <w:tcW w:w="2285" w:type="dxa"/>
            <w:noWrap/>
            <w:tcMar>
              <w:top w:w="15" w:type="dxa"/>
              <w:left w:w="15" w:type="dxa"/>
              <w:bottom w:w="0" w:type="dxa"/>
              <w:right w:w="15" w:type="dxa"/>
            </w:tcMar>
            <w:vAlign w:val="center"/>
          </w:tcPr>
          <w:p w14:paraId="63895DA2">
            <w:pPr>
              <w:jc w:val="center"/>
              <w:rPr>
                <w:rFonts w:hint="eastAsia" w:ascii="宋体" w:hAnsi="宋体" w:cs="宋体"/>
                <w:sz w:val="24"/>
                <w:szCs w:val="24"/>
                <w:highlight w:val="none"/>
              </w:rPr>
            </w:pPr>
          </w:p>
        </w:tc>
        <w:tc>
          <w:tcPr>
            <w:tcW w:w="7422" w:type="dxa"/>
            <w:gridSpan w:val="3"/>
            <w:noWrap/>
            <w:tcMar>
              <w:top w:w="15" w:type="dxa"/>
              <w:left w:w="15" w:type="dxa"/>
              <w:bottom w:w="0" w:type="dxa"/>
              <w:right w:w="15" w:type="dxa"/>
            </w:tcMar>
            <w:vAlign w:val="center"/>
          </w:tcPr>
          <w:p w14:paraId="54F48656">
            <w:pPr>
              <w:jc w:val="center"/>
              <w:rPr>
                <w:rFonts w:hint="eastAsia" w:ascii="宋体" w:hAnsi="宋体" w:cs="宋体"/>
                <w:sz w:val="24"/>
                <w:szCs w:val="24"/>
                <w:highlight w:val="none"/>
              </w:rPr>
            </w:pPr>
            <w:r>
              <w:rPr>
                <w:rFonts w:hint="eastAsia" w:ascii="宋体" w:hAnsi="宋体" w:cs="宋体"/>
                <w:b/>
                <w:kern w:val="0"/>
                <w:sz w:val="36"/>
                <w:szCs w:val="36"/>
                <w:highlight w:val="none"/>
              </w:rPr>
              <w:t>更换主要管理人员资历强制性要求对照表</w:t>
            </w:r>
          </w:p>
        </w:tc>
        <w:tc>
          <w:tcPr>
            <w:tcW w:w="3050" w:type="dxa"/>
            <w:noWrap/>
            <w:tcMar>
              <w:top w:w="15" w:type="dxa"/>
              <w:left w:w="15" w:type="dxa"/>
              <w:bottom w:w="0" w:type="dxa"/>
              <w:right w:w="15" w:type="dxa"/>
            </w:tcMar>
            <w:vAlign w:val="center"/>
          </w:tcPr>
          <w:p w14:paraId="4C88CC33">
            <w:pPr>
              <w:jc w:val="center"/>
              <w:rPr>
                <w:rFonts w:hint="eastAsia" w:ascii="宋体" w:hAnsi="宋体" w:cs="宋体"/>
                <w:sz w:val="24"/>
                <w:szCs w:val="24"/>
                <w:highlight w:val="none"/>
              </w:rPr>
            </w:pPr>
          </w:p>
        </w:tc>
      </w:tr>
      <w:tr w14:paraId="154287B3">
        <w:tblPrEx>
          <w:tblCellMar>
            <w:top w:w="0" w:type="dxa"/>
            <w:left w:w="0" w:type="dxa"/>
            <w:bottom w:w="0" w:type="dxa"/>
            <w:right w:w="0" w:type="dxa"/>
          </w:tblCellMar>
        </w:tblPrEx>
        <w:trPr>
          <w:trHeight w:val="640" w:hRule="atLeast"/>
        </w:trPr>
        <w:tc>
          <w:tcPr>
            <w:tcW w:w="0" w:type="auto"/>
            <w:gridSpan w:val="6"/>
            <w:noWrap/>
            <w:tcMar>
              <w:top w:w="15" w:type="dxa"/>
              <w:left w:w="15" w:type="dxa"/>
              <w:bottom w:w="0" w:type="dxa"/>
              <w:right w:w="15" w:type="dxa"/>
            </w:tcMar>
            <w:vAlign w:val="center"/>
          </w:tcPr>
          <w:p w14:paraId="48573FA7">
            <w:pPr>
              <w:widowControl/>
              <w:textAlignment w:val="center"/>
              <w:rPr>
                <w:rFonts w:hint="eastAsia" w:ascii="宋体" w:hAnsi="宋体" w:cs="宋体"/>
                <w:b/>
                <w:sz w:val="36"/>
                <w:szCs w:val="36"/>
                <w:highlight w:val="none"/>
              </w:rPr>
            </w:pPr>
          </w:p>
        </w:tc>
      </w:tr>
      <w:tr w14:paraId="59EE5CA2">
        <w:tblPrEx>
          <w:tblCellMar>
            <w:top w:w="0" w:type="dxa"/>
            <w:left w:w="0" w:type="dxa"/>
            <w:bottom w:w="0" w:type="dxa"/>
            <w:right w:w="0" w:type="dxa"/>
          </w:tblCellMar>
        </w:tblPrEx>
        <w:trPr>
          <w:trHeight w:val="327" w:hRule="atLeast"/>
        </w:trPr>
        <w:tc>
          <w:tcPr>
            <w:tcW w:w="0" w:type="auto"/>
            <w:noWrap/>
            <w:tcMar>
              <w:top w:w="15" w:type="dxa"/>
              <w:left w:w="15" w:type="dxa"/>
              <w:bottom w:w="0" w:type="dxa"/>
              <w:right w:w="15" w:type="dxa"/>
            </w:tcMar>
            <w:vAlign w:val="center"/>
          </w:tcPr>
          <w:p w14:paraId="3BA032F0">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工程名称：</w:t>
            </w:r>
          </w:p>
        </w:tc>
        <w:tc>
          <w:tcPr>
            <w:tcW w:w="0" w:type="auto"/>
            <w:noWrap/>
            <w:tcMar>
              <w:top w:w="15" w:type="dxa"/>
              <w:left w:w="15" w:type="dxa"/>
              <w:bottom w:w="0" w:type="dxa"/>
              <w:right w:w="15" w:type="dxa"/>
            </w:tcMar>
            <w:vAlign w:val="center"/>
          </w:tcPr>
          <w:p w14:paraId="5AB9B9AB">
            <w:pPr>
              <w:jc w:val="center"/>
              <w:rPr>
                <w:rFonts w:hint="eastAsia" w:ascii="宋体" w:hAnsi="宋体" w:cs="宋体"/>
                <w:sz w:val="24"/>
                <w:szCs w:val="24"/>
                <w:highlight w:val="none"/>
              </w:rPr>
            </w:pPr>
          </w:p>
        </w:tc>
        <w:tc>
          <w:tcPr>
            <w:tcW w:w="0" w:type="auto"/>
            <w:noWrap/>
            <w:tcMar>
              <w:top w:w="15" w:type="dxa"/>
              <w:left w:w="15" w:type="dxa"/>
              <w:bottom w:w="0" w:type="dxa"/>
              <w:right w:w="15" w:type="dxa"/>
            </w:tcMar>
            <w:vAlign w:val="center"/>
          </w:tcPr>
          <w:p w14:paraId="633FECD8">
            <w:pPr>
              <w:jc w:val="center"/>
              <w:rPr>
                <w:rFonts w:hint="eastAsia" w:ascii="宋体" w:hAnsi="宋体" w:cs="宋体"/>
                <w:sz w:val="24"/>
                <w:szCs w:val="24"/>
                <w:highlight w:val="none"/>
              </w:rPr>
            </w:pPr>
          </w:p>
        </w:tc>
        <w:tc>
          <w:tcPr>
            <w:tcW w:w="0" w:type="auto"/>
            <w:noWrap/>
            <w:tcMar>
              <w:top w:w="15" w:type="dxa"/>
              <w:left w:w="15" w:type="dxa"/>
              <w:bottom w:w="0" w:type="dxa"/>
              <w:right w:w="15" w:type="dxa"/>
            </w:tcMar>
            <w:vAlign w:val="center"/>
          </w:tcPr>
          <w:p w14:paraId="42B26C10">
            <w:pPr>
              <w:widowControl/>
              <w:jc w:val="left"/>
              <w:textAlignment w:val="center"/>
              <w:rPr>
                <w:rFonts w:hint="eastAsia" w:ascii="宋体" w:hAnsi="宋体" w:cs="宋体"/>
                <w:sz w:val="24"/>
                <w:szCs w:val="24"/>
                <w:highlight w:val="none"/>
              </w:rPr>
            </w:pPr>
            <w:r>
              <w:rPr>
                <w:rFonts w:hint="eastAsia" w:ascii="宋体" w:hAnsi="宋体" w:cs="宋体"/>
                <w:sz w:val="24"/>
                <w:szCs w:val="24"/>
                <w:highlight w:val="none"/>
              </w:rPr>
              <w:t>甲方项目部：</w:t>
            </w:r>
            <w:r>
              <w:rPr>
                <w:rFonts w:hint="eastAsia" w:ascii="宋体" w:hAnsi="宋体" w:cs="宋体"/>
                <w:sz w:val="24"/>
                <w:szCs w:val="24"/>
                <w:highlight w:val="none"/>
              </w:rPr>
              <w:tab/>
            </w:r>
          </w:p>
        </w:tc>
        <w:tc>
          <w:tcPr>
            <w:tcW w:w="0" w:type="auto"/>
            <w:noWrap/>
            <w:tcMar>
              <w:top w:w="15" w:type="dxa"/>
              <w:left w:w="15" w:type="dxa"/>
              <w:bottom w:w="0" w:type="dxa"/>
              <w:right w:w="15" w:type="dxa"/>
            </w:tcMar>
            <w:vAlign w:val="center"/>
          </w:tcPr>
          <w:p w14:paraId="62058460">
            <w:pPr>
              <w:jc w:val="center"/>
              <w:rPr>
                <w:rFonts w:hint="eastAsia" w:ascii="宋体" w:hAnsi="宋体" w:cs="宋体"/>
                <w:sz w:val="24"/>
                <w:szCs w:val="24"/>
                <w:highlight w:val="none"/>
              </w:rPr>
            </w:pPr>
            <w:r>
              <w:rPr>
                <w:rFonts w:hint="eastAsia" w:ascii="宋体" w:hAnsi="宋体" w:cs="宋体"/>
                <w:sz w:val="24"/>
                <w:szCs w:val="24"/>
                <w:highlight w:val="none"/>
              </w:rPr>
              <w:t xml:space="preserve">                 日期：</w:t>
            </w:r>
          </w:p>
        </w:tc>
        <w:tc>
          <w:tcPr>
            <w:tcW w:w="0" w:type="auto"/>
            <w:noWrap/>
            <w:tcMar>
              <w:top w:w="15" w:type="dxa"/>
              <w:left w:w="15" w:type="dxa"/>
              <w:bottom w:w="0" w:type="dxa"/>
              <w:right w:w="15" w:type="dxa"/>
            </w:tcMar>
            <w:vAlign w:val="center"/>
          </w:tcPr>
          <w:p w14:paraId="4CA19457">
            <w:pPr>
              <w:jc w:val="center"/>
              <w:rPr>
                <w:rFonts w:hint="eastAsia" w:ascii="宋体" w:hAnsi="宋体" w:cs="宋体"/>
                <w:sz w:val="24"/>
                <w:szCs w:val="24"/>
                <w:highlight w:val="none"/>
              </w:rPr>
            </w:pPr>
          </w:p>
        </w:tc>
      </w:tr>
      <w:tr w14:paraId="5FEB5358">
        <w:tblPrEx>
          <w:tblCellMar>
            <w:top w:w="0" w:type="dxa"/>
            <w:left w:w="0" w:type="dxa"/>
            <w:bottom w:w="0" w:type="dxa"/>
            <w:right w:w="0" w:type="dxa"/>
          </w:tblCellMar>
        </w:tblPrEx>
        <w:trPr>
          <w:trHeight w:val="626"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A9843A3">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人员</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0188FB2">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招标文件资质要求</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3A57733">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原投标时投标人达到同等要求的简述</w:t>
            </w:r>
          </w:p>
        </w:tc>
        <w:tc>
          <w:tcPr>
            <w:tcW w:w="0" w:type="auto"/>
            <w:gridSpan w:val="2"/>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522C8157">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现中标人更换人员达到同等要求的简述</w:t>
            </w:r>
          </w:p>
        </w:tc>
      </w:tr>
      <w:tr w14:paraId="6E352F32">
        <w:tblPrEx>
          <w:tblCellMar>
            <w:top w:w="0" w:type="dxa"/>
            <w:left w:w="0" w:type="dxa"/>
            <w:bottom w:w="0" w:type="dxa"/>
            <w:right w:w="0" w:type="dxa"/>
          </w:tblCellMar>
        </w:tblPrEx>
        <w:trPr>
          <w:trHeight w:val="626"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2300037">
            <w:pPr>
              <w:widowControl/>
              <w:jc w:val="left"/>
              <w:rPr>
                <w:rFonts w:hint="eastAsia" w:ascii="宋体" w:hAnsi="宋体" w:cs="宋体"/>
                <w:sz w:val="24"/>
                <w:szCs w:val="24"/>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38C8165">
            <w:pPr>
              <w:widowControl/>
              <w:jc w:val="left"/>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5D92C73C">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投标时人员姓名</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595E41A">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投标人投标时人员资质的简述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11D5EE52">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现更换人员姓名</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050B8379">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现更换人员的简述</w:t>
            </w:r>
          </w:p>
        </w:tc>
      </w:tr>
      <w:tr w14:paraId="204B41AC">
        <w:tblPrEx>
          <w:tblCellMar>
            <w:top w:w="0" w:type="dxa"/>
            <w:left w:w="0" w:type="dxa"/>
            <w:bottom w:w="0" w:type="dxa"/>
            <w:right w:w="0" w:type="dxa"/>
          </w:tblCellMar>
        </w:tblPrEx>
        <w:trPr>
          <w:trHeight w:val="1427"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03077A1">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E227C04">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6D3838C">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6AC99043">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9BC4270">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1BC46E3">
            <w:pPr>
              <w:jc w:val="center"/>
              <w:rPr>
                <w:rFonts w:hint="eastAsia" w:ascii="宋体" w:hAnsi="宋体" w:cs="宋体"/>
                <w:sz w:val="24"/>
                <w:szCs w:val="24"/>
                <w:highlight w:val="none"/>
              </w:rPr>
            </w:pPr>
          </w:p>
        </w:tc>
      </w:tr>
      <w:tr w14:paraId="7ABBF648">
        <w:tblPrEx>
          <w:tblCellMar>
            <w:top w:w="0" w:type="dxa"/>
            <w:left w:w="0" w:type="dxa"/>
            <w:bottom w:w="0" w:type="dxa"/>
            <w:right w:w="0" w:type="dxa"/>
          </w:tblCellMar>
        </w:tblPrEx>
        <w:trPr>
          <w:trHeight w:val="1427"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0C8F9470">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0BB3F09B">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E4BF5C5">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59A8E455">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67109A91">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9BAFF67">
            <w:pPr>
              <w:jc w:val="center"/>
              <w:rPr>
                <w:rFonts w:hint="eastAsia" w:ascii="宋体" w:hAnsi="宋体" w:cs="宋体"/>
                <w:sz w:val="24"/>
                <w:szCs w:val="24"/>
                <w:highlight w:val="none"/>
              </w:rPr>
            </w:pPr>
          </w:p>
        </w:tc>
      </w:tr>
      <w:tr w14:paraId="5293E44A">
        <w:tblPrEx>
          <w:tblCellMar>
            <w:top w:w="0" w:type="dxa"/>
            <w:left w:w="0" w:type="dxa"/>
            <w:bottom w:w="0" w:type="dxa"/>
            <w:right w:w="0" w:type="dxa"/>
          </w:tblCellMar>
        </w:tblPrEx>
        <w:trPr>
          <w:trHeight w:val="1427" w:hRule="atLeast"/>
        </w:trPr>
        <w:tc>
          <w:tcPr>
            <w:tcW w:w="14034" w:type="dxa"/>
            <w:gridSpan w:val="6"/>
            <w:noWrap w:val="0"/>
            <w:tcMar>
              <w:top w:w="15" w:type="dxa"/>
              <w:left w:w="15" w:type="dxa"/>
              <w:bottom w:w="0" w:type="dxa"/>
              <w:right w:w="15" w:type="dxa"/>
            </w:tcMar>
            <w:vAlign w:val="center"/>
          </w:tcPr>
          <w:p w14:paraId="23648F6B">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备注:1.现更换人员必须满足招标文件要求并不低于原投标文件中相关人员资历。</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2.表格中招标文件资质要求如与原招标文件要求有出入时，以原招标文件为准。</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3.填写拟更换本标段的主要管理人员简历表，并附相关证件。</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4.其他业务可同时参考本表格。</w:t>
            </w:r>
          </w:p>
        </w:tc>
      </w:tr>
    </w:tbl>
    <w:p w14:paraId="007EA03D">
      <w:pPr>
        <w:widowControl/>
        <w:jc w:val="left"/>
        <w:rPr>
          <w:rFonts w:hint="eastAsia" w:ascii="宋体" w:hAnsi="宋体" w:cs="宋体"/>
          <w:sz w:val="36"/>
          <w:szCs w:val="24"/>
          <w:highlight w:val="none"/>
        </w:rPr>
        <w:sectPr>
          <w:pgSz w:w="16838" w:h="11906" w:orient="landscape"/>
          <w:pgMar w:top="1361" w:right="1417" w:bottom="1361" w:left="1417" w:header="851" w:footer="992" w:gutter="0"/>
          <w:pgNumType w:fmt="decimal"/>
          <w:cols w:space="720" w:num="1"/>
          <w:docGrid w:type="lines" w:linePitch="312" w:charSpace="0"/>
        </w:sectPr>
      </w:pPr>
    </w:p>
    <w:tbl>
      <w:tblPr>
        <w:tblStyle w:val="14"/>
        <w:tblW w:w="9197" w:type="dxa"/>
        <w:tblInd w:w="15" w:type="dxa"/>
        <w:tblLayout w:type="autofit"/>
        <w:tblCellMar>
          <w:top w:w="0" w:type="dxa"/>
          <w:left w:w="0" w:type="dxa"/>
          <w:bottom w:w="0" w:type="dxa"/>
          <w:right w:w="0" w:type="dxa"/>
        </w:tblCellMar>
      </w:tblPr>
      <w:tblGrid>
        <w:gridCol w:w="1316"/>
        <w:gridCol w:w="1732"/>
        <w:gridCol w:w="1262"/>
        <w:gridCol w:w="1732"/>
        <w:gridCol w:w="1423"/>
        <w:gridCol w:w="1732"/>
      </w:tblGrid>
      <w:tr w14:paraId="4F954A14">
        <w:trPr>
          <w:trHeight w:val="260" w:hRule="atLeast"/>
        </w:trPr>
        <w:tc>
          <w:tcPr>
            <w:tcW w:w="1316" w:type="dxa"/>
            <w:noWrap/>
            <w:tcMar>
              <w:top w:w="15" w:type="dxa"/>
              <w:left w:w="15" w:type="dxa"/>
              <w:bottom w:w="0" w:type="dxa"/>
              <w:right w:w="15" w:type="dxa"/>
            </w:tcMar>
            <w:vAlign w:val="center"/>
          </w:tcPr>
          <w:p w14:paraId="25DE4B24">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附件3：</w:t>
            </w:r>
          </w:p>
        </w:tc>
        <w:tc>
          <w:tcPr>
            <w:tcW w:w="1732" w:type="dxa"/>
            <w:noWrap/>
            <w:tcMar>
              <w:top w:w="15" w:type="dxa"/>
              <w:left w:w="15" w:type="dxa"/>
              <w:bottom w:w="0" w:type="dxa"/>
              <w:right w:w="15" w:type="dxa"/>
            </w:tcMar>
            <w:vAlign w:val="center"/>
          </w:tcPr>
          <w:p w14:paraId="02355274">
            <w:pPr>
              <w:rPr>
                <w:rFonts w:hint="eastAsia" w:ascii="宋体" w:hAnsi="宋体" w:cs="宋体"/>
                <w:sz w:val="24"/>
                <w:szCs w:val="24"/>
                <w:highlight w:val="none"/>
              </w:rPr>
            </w:pPr>
          </w:p>
        </w:tc>
        <w:tc>
          <w:tcPr>
            <w:tcW w:w="1262" w:type="dxa"/>
            <w:noWrap/>
            <w:tcMar>
              <w:top w:w="15" w:type="dxa"/>
              <w:left w:w="15" w:type="dxa"/>
              <w:bottom w:w="0" w:type="dxa"/>
              <w:right w:w="15" w:type="dxa"/>
            </w:tcMar>
            <w:vAlign w:val="center"/>
          </w:tcPr>
          <w:p w14:paraId="49EB6B14">
            <w:pPr>
              <w:rPr>
                <w:rFonts w:hint="eastAsia" w:ascii="宋体" w:hAnsi="宋体" w:cs="宋体"/>
                <w:sz w:val="24"/>
                <w:szCs w:val="24"/>
                <w:highlight w:val="none"/>
              </w:rPr>
            </w:pPr>
          </w:p>
        </w:tc>
        <w:tc>
          <w:tcPr>
            <w:tcW w:w="1732" w:type="dxa"/>
            <w:noWrap/>
            <w:tcMar>
              <w:top w:w="15" w:type="dxa"/>
              <w:left w:w="15" w:type="dxa"/>
              <w:bottom w:w="0" w:type="dxa"/>
              <w:right w:w="15" w:type="dxa"/>
            </w:tcMar>
            <w:vAlign w:val="center"/>
          </w:tcPr>
          <w:p w14:paraId="4FC49A2B">
            <w:pPr>
              <w:rPr>
                <w:rFonts w:hint="eastAsia" w:ascii="宋体" w:hAnsi="宋体" w:cs="宋体"/>
                <w:sz w:val="24"/>
                <w:szCs w:val="24"/>
                <w:highlight w:val="none"/>
              </w:rPr>
            </w:pPr>
          </w:p>
        </w:tc>
        <w:tc>
          <w:tcPr>
            <w:tcW w:w="1423" w:type="dxa"/>
            <w:noWrap/>
            <w:tcMar>
              <w:top w:w="15" w:type="dxa"/>
              <w:left w:w="15" w:type="dxa"/>
              <w:bottom w:w="0" w:type="dxa"/>
              <w:right w:w="15" w:type="dxa"/>
            </w:tcMar>
            <w:vAlign w:val="center"/>
          </w:tcPr>
          <w:p w14:paraId="67B19298">
            <w:pPr>
              <w:rPr>
                <w:rFonts w:hint="eastAsia" w:ascii="宋体" w:hAnsi="宋体" w:cs="宋体"/>
                <w:sz w:val="24"/>
                <w:szCs w:val="24"/>
                <w:highlight w:val="none"/>
              </w:rPr>
            </w:pPr>
          </w:p>
        </w:tc>
        <w:tc>
          <w:tcPr>
            <w:tcW w:w="1732" w:type="dxa"/>
            <w:noWrap/>
            <w:tcMar>
              <w:top w:w="15" w:type="dxa"/>
              <w:left w:w="15" w:type="dxa"/>
              <w:bottom w:w="0" w:type="dxa"/>
              <w:right w:w="15" w:type="dxa"/>
            </w:tcMar>
            <w:vAlign w:val="center"/>
          </w:tcPr>
          <w:p w14:paraId="349234D9">
            <w:pPr>
              <w:rPr>
                <w:rFonts w:hint="eastAsia" w:ascii="宋体" w:hAnsi="宋体" w:cs="宋体"/>
                <w:sz w:val="24"/>
                <w:szCs w:val="24"/>
                <w:highlight w:val="none"/>
              </w:rPr>
            </w:pPr>
          </w:p>
        </w:tc>
      </w:tr>
      <w:tr w14:paraId="654D2A23">
        <w:tblPrEx>
          <w:tblCellMar>
            <w:top w:w="0" w:type="dxa"/>
            <w:left w:w="0" w:type="dxa"/>
            <w:bottom w:w="0" w:type="dxa"/>
            <w:right w:w="0" w:type="dxa"/>
          </w:tblCellMar>
        </w:tblPrEx>
        <w:trPr>
          <w:trHeight w:val="507" w:hRule="atLeast"/>
        </w:trPr>
        <w:tc>
          <w:tcPr>
            <w:tcW w:w="0" w:type="auto"/>
            <w:gridSpan w:val="6"/>
            <w:noWrap/>
            <w:tcMar>
              <w:top w:w="15" w:type="dxa"/>
              <w:left w:w="15" w:type="dxa"/>
              <w:bottom w:w="0" w:type="dxa"/>
              <w:right w:w="15" w:type="dxa"/>
            </w:tcMar>
            <w:vAlign w:val="center"/>
          </w:tcPr>
          <w:p w14:paraId="5CC2EEF3">
            <w:pPr>
              <w:widowControl/>
              <w:jc w:val="center"/>
              <w:textAlignment w:val="center"/>
              <w:rPr>
                <w:rFonts w:hint="eastAsia" w:ascii="宋体" w:hAnsi="宋体" w:cs="宋体"/>
                <w:b/>
                <w:sz w:val="36"/>
                <w:szCs w:val="36"/>
                <w:highlight w:val="none"/>
              </w:rPr>
            </w:pPr>
            <w:r>
              <w:rPr>
                <w:rFonts w:hint="eastAsia" w:ascii="宋体" w:hAnsi="宋体" w:cs="宋体"/>
                <w:b/>
                <w:kern w:val="0"/>
                <w:sz w:val="36"/>
                <w:szCs w:val="36"/>
                <w:highlight w:val="none"/>
              </w:rPr>
              <w:t>拟更换本项目的主要管理人员简历表</w:t>
            </w:r>
          </w:p>
        </w:tc>
      </w:tr>
      <w:tr w14:paraId="7FB26506">
        <w:tblPrEx>
          <w:tblCellMar>
            <w:top w:w="0" w:type="dxa"/>
            <w:left w:w="0" w:type="dxa"/>
            <w:bottom w:w="0" w:type="dxa"/>
            <w:right w:w="0" w:type="dxa"/>
          </w:tblCellMar>
        </w:tblPrEx>
        <w:trPr>
          <w:trHeight w:val="369" w:hRule="atLeast"/>
        </w:trPr>
        <w:tc>
          <w:tcPr>
            <w:tcW w:w="0" w:type="auto"/>
            <w:gridSpan w:val="6"/>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5CA4CAA9">
            <w:pPr>
              <w:widowControl/>
              <w:jc w:val="center"/>
              <w:textAlignment w:val="center"/>
              <w:rPr>
                <w:rFonts w:hint="eastAsia" w:ascii="宋体" w:hAnsi="宋体" w:cs="宋体"/>
                <w:b/>
                <w:sz w:val="24"/>
                <w:szCs w:val="24"/>
                <w:highlight w:val="none"/>
              </w:rPr>
            </w:pPr>
            <w:r>
              <w:rPr>
                <w:rFonts w:hint="eastAsia" w:ascii="宋体" w:hAnsi="宋体" w:cs="宋体"/>
                <w:b/>
                <w:kern w:val="0"/>
                <w:sz w:val="24"/>
                <w:szCs w:val="24"/>
                <w:highlight w:val="none"/>
              </w:rPr>
              <w:t>1.一般情况</w:t>
            </w:r>
          </w:p>
        </w:tc>
      </w:tr>
      <w:tr w14:paraId="7C65CD6F">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136FEBB">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姓名</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6600B87">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C93D7F1">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年龄</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65DC1761">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4DE56B6">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技术职称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94D1C76">
            <w:pPr>
              <w:jc w:val="center"/>
              <w:rPr>
                <w:rFonts w:hint="eastAsia" w:ascii="宋体" w:hAnsi="宋体" w:cs="宋体"/>
                <w:sz w:val="24"/>
                <w:szCs w:val="24"/>
                <w:highlight w:val="none"/>
              </w:rPr>
            </w:pPr>
          </w:p>
        </w:tc>
      </w:tr>
      <w:tr w14:paraId="6B51A4D0">
        <w:tblPrEx>
          <w:tblCellMar>
            <w:top w:w="0" w:type="dxa"/>
            <w:left w:w="0" w:type="dxa"/>
            <w:bottom w:w="0" w:type="dxa"/>
            <w:right w:w="0" w:type="dxa"/>
          </w:tblCellMar>
        </w:tblPrEx>
        <w:trPr>
          <w:trHeight w:val="559" w:hRule="atLeast"/>
        </w:trPr>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DF2807E">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职务</w:t>
            </w:r>
          </w:p>
        </w:tc>
        <w:tc>
          <w:tcPr>
            <w:tcW w:w="1732"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991E33D">
            <w:pPr>
              <w:jc w:val="center"/>
              <w:rPr>
                <w:rFonts w:hint="eastAsia" w:ascii="宋体" w:hAnsi="宋体" w:cs="宋体"/>
                <w:sz w:val="24"/>
                <w:szCs w:val="24"/>
                <w:highlight w:val="none"/>
              </w:rPr>
            </w:pPr>
          </w:p>
        </w:tc>
        <w:tc>
          <w:tcPr>
            <w:tcW w:w="1262"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46AAE033">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本合同中拟任职</w:t>
            </w:r>
          </w:p>
        </w:tc>
        <w:tc>
          <w:tcPr>
            <w:tcW w:w="1732"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364A8C9A">
            <w:pPr>
              <w:jc w:val="center"/>
              <w:rPr>
                <w:rFonts w:hint="eastAsia" w:ascii="宋体" w:hAnsi="宋体" w:cs="宋体"/>
                <w:sz w:val="24"/>
                <w:szCs w:val="24"/>
                <w:highlight w:val="none"/>
              </w:rPr>
            </w:pPr>
          </w:p>
        </w:tc>
        <w:tc>
          <w:tcPr>
            <w:tcW w:w="1423"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75F0E6B">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为申请人服务时间</w:t>
            </w:r>
          </w:p>
        </w:tc>
        <w:tc>
          <w:tcPr>
            <w:tcW w:w="1732"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5CFFEF00">
            <w:pPr>
              <w:jc w:val="center"/>
              <w:rPr>
                <w:rFonts w:hint="eastAsia" w:ascii="宋体" w:hAnsi="宋体" w:cs="宋体"/>
                <w:sz w:val="24"/>
                <w:szCs w:val="24"/>
                <w:highlight w:val="none"/>
              </w:rPr>
            </w:pPr>
          </w:p>
        </w:tc>
      </w:tr>
      <w:tr w14:paraId="575DA726">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13032BD1">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学历</w:t>
            </w:r>
          </w:p>
        </w:tc>
        <w:tc>
          <w:tcPr>
            <w:tcW w:w="0" w:type="auto"/>
            <w:gridSpan w:val="5"/>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AA5642E">
            <w:pPr>
              <w:jc w:val="center"/>
              <w:rPr>
                <w:rFonts w:hint="eastAsia" w:ascii="宋体" w:hAnsi="宋体" w:cs="宋体"/>
                <w:sz w:val="24"/>
                <w:szCs w:val="24"/>
                <w:highlight w:val="none"/>
              </w:rPr>
            </w:pPr>
          </w:p>
        </w:tc>
      </w:tr>
      <w:tr w14:paraId="44983865">
        <w:tblPrEx>
          <w:tblCellMar>
            <w:top w:w="0" w:type="dxa"/>
            <w:left w:w="0" w:type="dxa"/>
            <w:bottom w:w="0" w:type="dxa"/>
            <w:right w:w="0" w:type="dxa"/>
          </w:tblCellMar>
        </w:tblPrEx>
        <w:trPr>
          <w:trHeight w:val="369" w:hRule="atLeast"/>
        </w:trPr>
        <w:tc>
          <w:tcPr>
            <w:tcW w:w="0" w:type="auto"/>
            <w:gridSpan w:val="6"/>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CCA28BE">
            <w:pPr>
              <w:widowControl/>
              <w:jc w:val="center"/>
              <w:textAlignment w:val="center"/>
              <w:rPr>
                <w:rFonts w:hint="eastAsia" w:ascii="宋体" w:hAnsi="宋体" w:cs="宋体"/>
                <w:b/>
                <w:sz w:val="24"/>
                <w:szCs w:val="24"/>
                <w:highlight w:val="none"/>
              </w:rPr>
            </w:pPr>
            <w:r>
              <w:rPr>
                <w:rFonts w:hint="eastAsia" w:ascii="宋体" w:hAnsi="宋体" w:cs="宋体"/>
                <w:b/>
                <w:kern w:val="0"/>
                <w:sz w:val="24"/>
                <w:szCs w:val="24"/>
                <w:highlight w:val="none"/>
              </w:rPr>
              <w:t>2.经历</w:t>
            </w:r>
          </w:p>
        </w:tc>
      </w:tr>
      <w:tr w14:paraId="11BF3F4D">
        <w:tblPrEx>
          <w:tblCellMar>
            <w:top w:w="0" w:type="dxa"/>
            <w:left w:w="0" w:type="dxa"/>
            <w:bottom w:w="0" w:type="dxa"/>
            <w:right w:w="0" w:type="dxa"/>
          </w:tblCellMar>
        </w:tblPrEx>
        <w:trPr>
          <w:trHeight w:val="670" w:hRule="atLeast"/>
        </w:trPr>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0B37060">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*年-*年</w:t>
            </w:r>
          </w:p>
        </w:tc>
        <w:tc>
          <w:tcPr>
            <w:tcW w:w="472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1F18AAC2">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负责过的主要工程（项目）类型和金额</w:t>
            </w:r>
          </w:p>
        </w:tc>
        <w:tc>
          <w:tcPr>
            <w:tcW w:w="1423"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6A368875">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该项目中任职</w:t>
            </w:r>
          </w:p>
        </w:tc>
        <w:tc>
          <w:tcPr>
            <w:tcW w:w="1732" w:type="dxa"/>
            <w:tcBorders>
              <w:top w:val="single" w:color="000000"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14:paraId="2281FF63">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备注</w:t>
            </w:r>
          </w:p>
        </w:tc>
      </w:tr>
      <w:tr w14:paraId="01D126E6">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1FC8981">
            <w:pPr>
              <w:rPr>
                <w:rFonts w:hint="eastAsia" w:ascii="宋体" w:hAnsi="宋体" w:cs="宋体"/>
                <w:sz w:val="24"/>
                <w:szCs w:val="24"/>
                <w:highlight w:val="none"/>
              </w:rPr>
            </w:pPr>
          </w:p>
        </w:tc>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910DF49">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C9BCEE2">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E20AAD7">
            <w:pPr>
              <w:rPr>
                <w:rFonts w:hint="eastAsia" w:ascii="宋体" w:hAnsi="宋体" w:cs="宋体"/>
                <w:sz w:val="24"/>
                <w:szCs w:val="24"/>
                <w:highlight w:val="none"/>
              </w:rPr>
            </w:pPr>
          </w:p>
        </w:tc>
      </w:tr>
      <w:tr w14:paraId="1BA7FD2F">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39ACEE8">
            <w:pPr>
              <w:rPr>
                <w:rFonts w:hint="eastAsia" w:ascii="宋体" w:hAnsi="宋体" w:cs="宋体"/>
                <w:sz w:val="24"/>
                <w:szCs w:val="24"/>
                <w:highlight w:val="none"/>
              </w:rPr>
            </w:pPr>
          </w:p>
        </w:tc>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1464A7F">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6581AA20">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0A74D3F3">
            <w:pPr>
              <w:rPr>
                <w:rFonts w:hint="eastAsia" w:ascii="宋体" w:hAnsi="宋体" w:cs="宋体"/>
                <w:sz w:val="24"/>
                <w:szCs w:val="24"/>
                <w:highlight w:val="none"/>
              </w:rPr>
            </w:pPr>
          </w:p>
        </w:tc>
      </w:tr>
      <w:tr w14:paraId="252D3784">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D03FA76">
            <w:pPr>
              <w:rPr>
                <w:rFonts w:hint="eastAsia" w:ascii="宋体" w:hAnsi="宋体" w:cs="宋体"/>
                <w:sz w:val="24"/>
                <w:szCs w:val="24"/>
                <w:highlight w:val="none"/>
              </w:rPr>
            </w:pPr>
          </w:p>
        </w:tc>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6A22F39">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70F7937">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54200D93">
            <w:pPr>
              <w:rPr>
                <w:rFonts w:hint="eastAsia" w:ascii="宋体" w:hAnsi="宋体" w:cs="宋体"/>
                <w:sz w:val="24"/>
                <w:szCs w:val="24"/>
                <w:highlight w:val="none"/>
              </w:rPr>
            </w:pPr>
          </w:p>
        </w:tc>
      </w:tr>
      <w:tr w14:paraId="1B6E64AC">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7E20B2B">
            <w:pPr>
              <w:rPr>
                <w:rFonts w:hint="eastAsia" w:ascii="宋体" w:hAnsi="宋体" w:cs="宋体"/>
                <w:sz w:val="24"/>
                <w:szCs w:val="24"/>
                <w:highlight w:val="none"/>
              </w:rPr>
            </w:pPr>
          </w:p>
        </w:tc>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9D9A7AE">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6EDE17A">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4F9C89D">
            <w:pPr>
              <w:rPr>
                <w:rFonts w:hint="eastAsia" w:ascii="宋体" w:hAnsi="宋体" w:cs="宋体"/>
                <w:sz w:val="24"/>
                <w:szCs w:val="24"/>
                <w:highlight w:val="none"/>
              </w:rPr>
            </w:pPr>
          </w:p>
        </w:tc>
      </w:tr>
      <w:tr w14:paraId="65480AB0">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626B2F4A">
            <w:pPr>
              <w:rPr>
                <w:rFonts w:hint="eastAsia" w:ascii="宋体" w:hAnsi="宋体" w:cs="宋体"/>
                <w:sz w:val="24"/>
                <w:szCs w:val="24"/>
                <w:highlight w:val="none"/>
              </w:rPr>
            </w:pPr>
          </w:p>
        </w:tc>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569AE8F5">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14F2F9F0">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12D4EA8F">
            <w:pPr>
              <w:rPr>
                <w:rFonts w:hint="eastAsia" w:ascii="宋体" w:hAnsi="宋体" w:cs="宋体"/>
                <w:sz w:val="24"/>
                <w:szCs w:val="24"/>
                <w:highlight w:val="none"/>
              </w:rPr>
            </w:pPr>
          </w:p>
        </w:tc>
      </w:tr>
      <w:tr w14:paraId="5C189C2D">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B30A002">
            <w:pPr>
              <w:rPr>
                <w:rFonts w:hint="eastAsia" w:ascii="宋体" w:hAnsi="宋体" w:cs="宋体"/>
                <w:sz w:val="24"/>
                <w:szCs w:val="24"/>
                <w:highlight w:val="none"/>
              </w:rPr>
            </w:pPr>
          </w:p>
        </w:tc>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043FA5C3">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B43EE8A">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5BFE563">
            <w:pPr>
              <w:rPr>
                <w:rFonts w:hint="eastAsia" w:ascii="宋体" w:hAnsi="宋体" w:cs="宋体"/>
                <w:sz w:val="24"/>
                <w:szCs w:val="24"/>
                <w:highlight w:val="none"/>
              </w:rPr>
            </w:pPr>
          </w:p>
        </w:tc>
      </w:tr>
      <w:tr w14:paraId="1E644E83">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328433BF">
            <w:pPr>
              <w:rPr>
                <w:rFonts w:hint="eastAsia" w:ascii="宋体" w:hAnsi="宋体" w:cs="宋体"/>
                <w:sz w:val="24"/>
                <w:szCs w:val="24"/>
                <w:highlight w:val="none"/>
              </w:rPr>
            </w:pPr>
          </w:p>
        </w:tc>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D1C309B">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63D7CA8">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9FCE127">
            <w:pPr>
              <w:rPr>
                <w:rFonts w:hint="eastAsia" w:ascii="宋体" w:hAnsi="宋体" w:cs="宋体"/>
                <w:sz w:val="24"/>
                <w:szCs w:val="24"/>
                <w:highlight w:val="none"/>
              </w:rPr>
            </w:pPr>
          </w:p>
        </w:tc>
      </w:tr>
      <w:tr w14:paraId="02571F06">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0B387BE">
            <w:pPr>
              <w:rPr>
                <w:rFonts w:hint="eastAsia" w:ascii="宋体" w:hAnsi="宋体" w:cs="宋体"/>
                <w:sz w:val="24"/>
                <w:szCs w:val="24"/>
                <w:highlight w:val="none"/>
              </w:rPr>
            </w:pPr>
          </w:p>
        </w:tc>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B201F1A">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6E15BDB">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591887E">
            <w:pPr>
              <w:rPr>
                <w:rFonts w:hint="eastAsia" w:ascii="宋体" w:hAnsi="宋体" w:cs="宋体"/>
                <w:sz w:val="24"/>
                <w:szCs w:val="24"/>
                <w:highlight w:val="none"/>
              </w:rPr>
            </w:pPr>
          </w:p>
        </w:tc>
      </w:tr>
      <w:tr w14:paraId="60E9C5A7">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12B7E094">
            <w:pPr>
              <w:rPr>
                <w:rFonts w:hint="eastAsia" w:ascii="宋体" w:hAnsi="宋体" w:cs="宋体"/>
                <w:sz w:val="24"/>
                <w:szCs w:val="24"/>
                <w:highlight w:val="none"/>
              </w:rPr>
            </w:pPr>
          </w:p>
        </w:tc>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0C4D1830">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449DD60A">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08C92AEF">
            <w:pPr>
              <w:rPr>
                <w:rFonts w:hint="eastAsia" w:ascii="宋体" w:hAnsi="宋体" w:cs="宋体"/>
                <w:sz w:val="24"/>
                <w:szCs w:val="24"/>
                <w:highlight w:val="none"/>
              </w:rPr>
            </w:pPr>
          </w:p>
        </w:tc>
      </w:tr>
      <w:tr w14:paraId="0609F483">
        <w:tblPrEx>
          <w:tblCellMar>
            <w:top w:w="0" w:type="dxa"/>
            <w:left w:w="0" w:type="dxa"/>
            <w:bottom w:w="0" w:type="dxa"/>
            <w:right w:w="0"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9E7DCF9">
            <w:pPr>
              <w:rPr>
                <w:rFonts w:hint="eastAsia" w:ascii="宋体" w:hAnsi="宋体" w:cs="宋体"/>
                <w:sz w:val="24"/>
                <w:szCs w:val="24"/>
                <w:highlight w:val="none"/>
              </w:rPr>
            </w:pPr>
          </w:p>
        </w:tc>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5B55C32A">
            <w:pPr>
              <w:jc w:val="cente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E41744B">
            <w:pPr>
              <w:rPr>
                <w:rFonts w:hint="eastAsia" w:ascii="宋体" w:hAnsi="宋体" w:cs="宋体"/>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D71997E">
            <w:pPr>
              <w:rPr>
                <w:rFonts w:hint="eastAsia" w:ascii="宋体" w:hAnsi="宋体" w:cs="宋体"/>
                <w:sz w:val="24"/>
                <w:szCs w:val="24"/>
                <w:highlight w:val="none"/>
              </w:rPr>
            </w:pPr>
          </w:p>
        </w:tc>
      </w:tr>
      <w:tr w14:paraId="56776CAF">
        <w:tblPrEx>
          <w:tblCellMar>
            <w:top w:w="0" w:type="dxa"/>
            <w:left w:w="0" w:type="dxa"/>
            <w:bottom w:w="0" w:type="dxa"/>
            <w:right w:w="0" w:type="dxa"/>
          </w:tblCellMar>
        </w:tblPrEx>
        <w:trPr>
          <w:trHeight w:val="860" w:hRule="atLeast"/>
        </w:trPr>
        <w:tc>
          <w:tcPr>
            <w:tcW w:w="9197" w:type="dxa"/>
            <w:gridSpan w:val="6"/>
            <w:noWrap w:val="0"/>
            <w:tcMar>
              <w:top w:w="15" w:type="dxa"/>
              <w:left w:w="15" w:type="dxa"/>
              <w:bottom w:w="0" w:type="dxa"/>
              <w:right w:w="15" w:type="dxa"/>
            </w:tcMar>
            <w:vAlign w:val="center"/>
          </w:tcPr>
          <w:p w14:paraId="085F88E6">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注：1.附身份证、职称证、毕业证、资格证书、注册证书等相关资料的扫描件，项目经理须附安全资格证书的扫描件，并准备原件以备以后查验。</w:t>
            </w:r>
            <w:r>
              <w:rPr>
                <w:rFonts w:hint="eastAsia" w:ascii="宋体" w:hAnsi="宋体" w:cs="宋体"/>
                <w:kern w:val="0"/>
                <w:sz w:val="24"/>
                <w:szCs w:val="24"/>
                <w:highlight w:val="none"/>
              </w:rPr>
              <w:br w:type="textWrapping"/>
            </w:r>
            <w:r>
              <w:rPr>
                <w:rFonts w:hint="eastAsia" w:ascii="宋体" w:hAnsi="宋体" w:cs="宋体"/>
                <w:kern w:val="0"/>
                <w:sz w:val="24"/>
                <w:szCs w:val="24"/>
                <w:highlight w:val="none"/>
              </w:rPr>
              <w:t>2.其他服务类业务可同时参考本表格。</w:t>
            </w:r>
          </w:p>
        </w:tc>
      </w:tr>
    </w:tbl>
    <w:p w14:paraId="73486196">
      <w:pPr>
        <w:spacing w:line="360" w:lineRule="auto"/>
        <w:ind w:firstLine="220" w:firstLineChars="100"/>
        <w:rPr>
          <w:rFonts w:hint="eastAsia" w:ascii="宋体" w:hAnsi="宋体" w:cs="宋体"/>
          <w:sz w:val="22"/>
          <w:highlight w:val="none"/>
          <w:u w:val="single"/>
        </w:rPr>
      </w:pPr>
      <w:r>
        <w:rPr>
          <w:rFonts w:hint="eastAsia" w:ascii="宋体" w:hAnsi="宋体" w:cs="宋体"/>
          <w:sz w:val="22"/>
          <w:highlight w:val="none"/>
        </w:rPr>
        <w:t>承诺单位：（章）                  负责人：</w:t>
      </w:r>
    </w:p>
    <w:p w14:paraId="5DA3A2D4">
      <w:pPr>
        <w:spacing w:line="360" w:lineRule="auto"/>
        <w:ind w:firstLine="330" w:firstLineChars="150"/>
        <w:rPr>
          <w:rFonts w:hint="eastAsia" w:ascii="宋体" w:hAnsi="宋体" w:cs="宋体"/>
          <w:sz w:val="22"/>
          <w:highlight w:val="none"/>
        </w:rPr>
      </w:pPr>
    </w:p>
    <w:p w14:paraId="277568CB">
      <w:pPr>
        <w:spacing w:line="360" w:lineRule="auto"/>
        <w:ind w:firstLine="220" w:firstLineChars="100"/>
        <w:rPr>
          <w:rFonts w:hint="eastAsia" w:ascii="宋体" w:hAnsi="宋体" w:cs="宋体"/>
          <w:sz w:val="28"/>
          <w:szCs w:val="24"/>
          <w:highlight w:val="none"/>
        </w:rPr>
      </w:pPr>
      <w:r>
        <w:rPr>
          <w:rFonts w:hint="eastAsia" w:ascii="宋体" w:hAnsi="宋体" w:cs="宋体"/>
          <w:sz w:val="22"/>
          <w:highlight w:val="none"/>
        </w:rPr>
        <w:t>承诺时间：    年    月    日</w:t>
      </w:r>
    </w:p>
    <w:p w14:paraId="7B75A4A9">
      <w:pPr>
        <w:spacing w:line="360" w:lineRule="auto"/>
        <w:rPr>
          <w:rFonts w:hint="eastAsia" w:ascii="宋体" w:hAnsi="宋体" w:cs="宋体"/>
          <w:sz w:val="28"/>
          <w:szCs w:val="24"/>
          <w:highlight w:val="none"/>
        </w:rPr>
      </w:pPr>
      <w:r>
        <w:rPr>
          <w:rFonts w:hint="eastAsia" w:ascii="宋体" w:hAnsi="宋体" w:cs="宋体"/>
          <w:sz w:val="28"/>
          <w:szCs w:val="24"/>
          <w:highlight w:val="none"/>
        </w:rPr>
        <w:t>附件十二：施工单位、监理单位考核标准</w:t>
      </w:r>
    </w:p>
    <w:p w14:paraId="5209F063">
      <w:pPr>
        <w:spacing w:line="700" w:lineRule="exact"/>
        <w:jc w:val="center"/>
        <w:rPr>
          <w:rFonts w:hint="eastAsia" w:ascii="宋体" w:hAnsi="宋体" w:cs="宋体"/>
          <w:sz w:val="48"/>
          <w:szCs w:val="48"/>
          <w:highlight w:val="none"/>
        </w:rPr>
      </w:pPr>
      <w:r>
        <w:rPr>
          <w:rFonts w:hint="eastAsia" w:ascii="宋体" w:hAnsi="宋体" w:cs="宋体"/>
          <w:sz w:val="48"/>
          <w:szCs w:val="48"/>
          <w:highlight w:val="none"/>
        </w:rPr>
        <w:t>施工单位、监理单位考核标准</w:t>
      </w:r>
    </w:p>
    <w:p w14:paraId="4127C5A4">
      <w:pPr>
        <w:spacing w:line="560" w:lineRule="exact"/>
        <w:ind w:firstLine="640"/>
        <w:jc w:val="center"/>
        <w:rPr>
          <w:rFonts w:hint="eastAsia" w:ascii="宋体" w:hAnsi="宋体" w:cs="宋体"/>
          <w:sz w:val="36"/>
          <w:szCs w:val="36"/>
          <w:highlight w:val="none"/>
        </w:rPr>
      </w:pPr>
    </w:p>
    <w:p w14:paraId="390DEE8E">
      <w:pPr>
        <w:spacing w:line="60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 xml:space="preserve">发包人： </w:t>
      </w:r>
      <w:r>
        <w:rPr>
          <w:rFonts w:hint="eastAsia" w:ascii="宋体" w:hAnsi="宋体" w:cs="宋体"/>
          <w:sz w:val="28"/>
          <w:szCs w:val="24"/>
          <w:highlight w:val="none"/>
          <w:u w:val="single"/>
        </w:rPr>
        <w:t xml:space="preserve"> 西安高新技术产业开发区公共项目建设管理中心  </w:t>
      </w:r>
      <w:r>
        <w:rPr>
          <w:rFonts w:hint="eastAsia" w:ascii="宋体" w:hAnsi="宋体" w:cs="宋体"/>
          <w:sz w:val="28"/>
          <w:szCs w:val="24"/>
          <w:highlight w:val="none"/>
        </w:rPr>
        <w:t xml:space="preserve">                                       </w:t>
      </w:r>
    </w:p>
    <w:p w14:paraId="5F215AB5">
      <w:pPr>
        <w:spacing w:line="600" w:lineRule="exact"/>
        <w:ind w:firstLine="560" w:firstLineChars="200"/>
        <w:rPr>
          <w:rFonts w:hint="eastAsia" w:ascii="宋体" w:hAnsi="宋体" w:cs="宋体"/>
          <w:b/>
          <w:sz w:val="28"/>
          <w:szCs w:val="24"/>
          <w:highlight w:val="none"/>
        </w:rPr>
      </w:pPr>
      <w:r>
        <w:rPr>
          <w:rFonts w:hint="eastAsia" w:ascii="宋体" w:hAnsi="宋体" w:cs="宋体"/>
          <w:sz w:val="28"/>
          <w:szCs w:val="24"/>
          <w:highlight w:val="none"/>
        </w:rPr>
        <w:t>承包人：</w:t>
      </w:r>
      <w:r>
        <w:rPr>
          <w:rFonts w:hint="eastAsia" w:ascii="宋体" w:hAnsi="宋体" w:cs="宋体"/>
          <w:b/>
          <w:sz w:val="28"/>
          <w:szCs w:val="24"/>
          <w:highlight w:val="none"/>
        </w:rPr>
        <w:t xml:space="preserve"> </w:t>
      </w:r>
      <w:r>
        <w:rPr>
          <w:rFonts w:hint="eastAsia" w:ascii="宋体" w:hAnsi="宋体" w:cs="宋体"/>
          <w:b w:val="0"/>
          <w:bCs/>
          <w:sz w:val="28"/>
          <w:szCs w:val="24"/>
          <w:highlight w:val="none"/>
          <w:u w:val="single"/>
        </w:rPr>
        <w:t xml:space="preserve"> </w:t>
      </w:r>
      <w:r>
        <w:rPr>
          <w:rFonts w:hint="eastAsia" w:ascii="宋体" w:hAnsi="宋体" w:cs="宋体"/>
          <w:b w:val="0"/>
          <w:bCs/>
          <w:sz w:val="28"/>
          <w:szCs w:val="24"/>
          <w:highlight w:val="none"/>
          <w:u w:val="single"/>
          <w:lang w:eastAsia="zh-CN"/>
        </w:rPr>
        <w:t>陕西建工集团股份有限公司</w:t>
      </w:r>
      <w:r>
        <w:rPr>
          <w:rFonts w:hint="eastAsia" w:ascii="宋体" w:hAnsi="宋体" w:cs="宋体"/>
          <w:b w:val="0"/>
          <w:bCs/>
          <w:sz w:val="28"/>
          <w:szCs w:val="24"/>
          <w:highlight w:val="none"/>
          <w:u w:val="single"/>
        </w:rPr>
        <w:t xml:space="preserve"> </w:t>
      </w:r>
    </w:p>
    <w:p w14:paraId="0A8CAEBA">
      <w:pPr>
        <w:spacing w:line="600" w:lineRule="exact"/>
        <w:ind w:firstLine="560" w:firstLineChars="200"/>
        <w:rPr>
          <w:rFonts w:hint="eastAsia" w:ascii="宋体" w:hAnsi="宋体" w:cs="宋体"/>
          <w:sz w:val="28"/>
          <w:szCs w:val="24"/>
          <w:highlight w:val="none"/>
        </w:rPr>
      </w:pPr>
    </w:p>
    <w:p w14:paraId="2F3CC598">
      <w:pPr>
        <w:spacing w:line="60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为加强各工程项目管理,确保建设项目各项管理目标的顺利实现,在遵照施工、监理合同实质性内容的基础上,对施工单位、监理单位制定如下考核标准。承包人承诺执行本办法，接受发包人在施工过程的考核及奖惩。</w:t>
      </w:r>
    </w:p>
    <w:p w14:paraId="2C443826">
      <w:pPr>
        <w:spacing w:line="540" w:lineRule="exact"/>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一、考核周期</w:t>
      </w:r>
    </w:p>
    <w:p w14:paraId="19B1E196">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施工、监理单位前期考察于中标通知书下发3个工作日后，合同签订前进行。</w:t>
      </w:r>
    </w:p>
    <w:p w14:paraId="07F3C1FB">
      <w:pPr>
        <w:pStyle w:val="6"/>
        <w:spacing w:line="540" w:lineRule="exact"/>
        <w:ind w:firstLine="560"/>
        <w:rPr>
          <w:rFonts w:hint="eastAsia" w:ascii="宋体" w:hAnsi="宋体" w:cs="宋体"/>
          <w:sz w:val="28"/>
          <w:szCs w:val="28"/>
          <w:highlight w:val="none"/>
        </w:rPr>
      </w:pPr>
      <w:r>
        <w:rPr>
          <w:rFonts w:hint="eastAsia" w:ascii="宋体" w:hAnsi="宋体" w:cs="宋体"/>
          <w:sz w:val="28"/>
          <w:szCs w:val="28"/>
          <w:highlight w:val="none"/>
        </w:rPr>
        <w:t>施工阶段考核安全质量中心、建设项目部每月一次，工程管理部、技术部、合同预算部、财务部每季度一次。</w:t>
      </w:r>
      <w:r>
        <w:rPr>
          <w:rFonts w:hint="eastAsia" w:ascii="宋体" w:hAnsi="宋体" w:cs="宋体"/>
          <w:sz w:val="28"/>
          <w:szCs w:val="28"/>
          <w:highlight w:val="none"/>
        </w:rPr>
        <w:br w:type="textWrapping"/>
      </w:r>
      <w:r>
        <w:rPr>
          <w:rFonts w:hint="eastAsia" w:ascii="宋体" w:hAnsi="宋体" w:cs="宋体"/>
          <w:sz w:val="28"/>
          <w:szCs w:val="28"/>
          <w:highlight w:val="none"/>
        </w:rPr>
        <w:t xml:space="preserve">    </w:t>
      </w:r>
      <w:r>
        <w:rPr>
          <w:rFonts w:hint="eastAsia" w:ascii="宋体" w:hAnsi="宋体" w:cs="宋体"/>
          <w:spacing w:val="-6"/>
          <w:sz w:val="28"/>
          <w:szCs w:val="28"/>
          <w:highlight w:val="none"/>
        </w:rPr>
        <w:t>建设周期短于三个月的，于建设中期进行考核。</w:t>
      </w:r>
    </w:p>
    <w:p w14:paraId="7D1D0F91">
      <w:pPr>
        <w:spacing w:line="540" w:lineRule="exact"/>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二、考核程序</w:t>
      </w:r>
    </w:p>
    <w:p w14:paraId="1E841ADF">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1.在每个考核周期内,对照《考核评分表》,分别对施工、监理单位进行评议打分。</w:t>
      </w:r>
    </w:p>
    <w:p w14:paraId="44842082">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2.由考核组员对评分结果进行审核确认,拟定考核评定意见；考核小组对考核结果审批确认。</w:t>
      </w:r>
      <w:r>
        <w:rPr>
          <w:rFonts w:hint="eastAsia" w:ascii="宋体" w:hAnsi="宋体" w:cs="宋体"/>
          <w:sz w:val="28"/>
          <w:szCs w:val="24"/>
          <w:highlight w:val="none"/>
        </w:rPr>
        <w:br w:type="textWrapping"/>
      </w:r>
      <w:r>
        <w:rPr>
          <w:rFonts w:hint="eastAsia" w:ascii="宋体" w:hAnsi="宋体" w:cs="宋体"/>
          <w:sz w:val="28"/>
          <w:szCs w:val="24"/>
          <w:highlight w:val="none"/>
        </w:rPr>
        <w:t xml:space="preserve">    3.考核组员对存在问题下发整改通知单，施工单位、监理单位按期完成整改，并报考核小组审核。</w:t>
      </w:r>
    </w:p>
    <w:p w14:paraId="48F380D9">
      <w:pPr>
        <w:spacing w:line="540" w:lineRule="exact"/>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 xml:space="preserve">三、评分标准  </w:t>
      </w:r>
    </w:p>
    <w:p w14:paraId="7AC1C84F">
      <w:pPr>
        <w:pStyle w:val="7"/>
        <w:spacing w:line="540" w:lineRule="exact"/>
        <w:ind w:firstLine="200"/>
        <w:rPr>
          <w:rFonts w:hint="eastAsia"/>
          <w:sz w:val="28"/>
          <w:szCs w:val="22"/>
          <w:highlight w:val="none"/>
        </w:rPr>
      </w:pPr>
      <w:r>
        <w:rPr>
          <w:rFonts w:hint="eastAsia"/>
          <w:sz w:val="28"/>
          <w:szCs w:val="22"/>
          <w:highlight w:val="none"/>
        </w:rPr>
        <w:t xml:space="preserve">    总分等于安全质量中心、建设项目部本季度每个月得分均值及其他职能部门季度得分的总和。</w:t>
      </w:r>
    </w:p>
    <w:p w14:paraId="2851EE80">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 xml:space="preserve"> 满分100分，考核等级：优良（得分≥80）；合格（60≤得分&lt;80）；不合格（&lt;60分）。</w:t>
      </w:r>
    </w:p>
    <w:p w14:paraId="506B1B12">
      <w:pPr>
        <w:spacing w:line="540" w:lineRule="exact"/>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五、考核奖惩</w:t>
      </w:r>
    </w:p>
    <w:p w14:paraId="2C173149">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1.对评价排序前三名且得分为优良的施工、监理单位予以现金、流动奖牌、荣誉证书（永久保存）的奖励。现金奖励按照名次，施工单位第一名 10000 元-5000元、第二名 5000 元-3000元、第三名 3000元-1000元；监理单位按照第一名 5000 元-3000元、第二名 3000-1000元、第三名 1000元-500元的标准发放。</w:t>
      </w:r>
    </w:p>
    <w:p w14:paraId="77A98962">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2.对评价排序倒数后三名的施工、监理单位发放流动倒数名次牌并进行现金处罚。现金处罚按照倒数排名名次，施工单位倒数第一名 10000 元-5000元、第二名 5000 元-3000元、第三名 3000 元-1000元；监理单位按照倒数第一名 5000 元-3000元、第二名 3000 元-1000元、第三名 1000元-500元的标准进行处罚。</w:t>
      </w:r>
    </w:p>
    <w:p w14:paraId="6EAB6799">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3.考核不合格，约谈施工单位、监理单位主管领导，要求对具体问题提出整改措施，并书面承诺。</w:t>
      </w:r>
    </w:p>
    <w:p w14:paraId="781C16AE">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4.施工单位项目经理、监理单位总监及主要负责人连续两次考核未到位，将上报区行业主管部门，建议将其列如诚信黑名单。</w:t>
      </w:r>
    </w:p>
    <w:p w14:paraId="42452D47">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5.连续两次考核排名位于后三名单位，列入合作单位黑名单；连续三次考核排名位于后三名单位，将上报区行业主管部门，建议将其列入诚信黑名单。</w:t>
      </w:r>
    </w:p>
    <w:p w14:paraId="23EF79E9">
      <w:pPr>
        <w:spacing w:line="540" w:lineRule="exact"/>
        <w:ind w:firstLine="560" w:firstLineChars="200"/>
        <w:rPr>
          <w:rFonts w:hint="eastAsia" w:ascii="宋体" w:hAnsi="宋体" w:cs="宋体"/>
          <w:bCs/>
          <w:sz w:val="28"/>
          <w:szCs w:val="24"/>
          <w:highlight w:val="none"/>
        </w:rPr>
      </w:pPr>
      <w:r>
        <w:rPr>
          <w:rFonts w:hint="eastAsia" w:ascii="宋体" w:hAnsi="宋体" w:cs="宋体"/>
          <w:bCs/>
          <w:sz w:val="28"/>
          <w:szCs w:val="24"/>
          <w:highlight w:val="none"/>
        </w:rPr>
        <w:t>六、一票否决情形</w:t>
      </w:r>
    </w:p>
    <w:p w14:paraId="1D903D9F">
      <w:pPr>
        <w:spacing w:line="540" w:lineRule="exact"/>
        <w:ind w:firstLine="562" w:firstLineChars="200"/>
        <w:rPr>
          <w:rFonts w:hint="eastAsia" w:ascii="宋体" w:hAnsi="宋体" w:cs="宋体"/>
          <w:b/>
          <w:bCs/>
          <w:sz w:val="28"/>
          <w:szCs w:val="24"/>
          <w:highlight w:val="none"/>
        </w:rPr>
      </w:pPr>
      <w:r>
        <w:rPr>
          <w:rFonts w:hint="eastAsia" w:ascii="宋体" w:hAnsi="宋体" w:cs="宋体"/>
          <w:b/>
          <w:bCs/>
          <w:sz w:val="28"/>
          <w:szCs w:val="24"/>
          <w:highlight w:val="none"/>
        </w:rPr>
        <w:t>凡施工过程中发生以下情形，均实行一票否决：</w:t>
      </w:r>
    </w:p>
    <w:p w14:paraId="359A28C5">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1.发生重大质量事故、安全事故实行一票否决。</w:t>
      </w:r>
    </w:p>
    <w:p w14:paraId="199B6552">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2.受到行政主管部门和监督机构通报批评或行政处罚的。</w:t>
      </w:r>
    </w:p>
    <w:p w14:paraId="2C40CD08">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3.受到媒体通报批评或造成恶劣社会影响的。</w:t>
      </w:r>
      <w:r>
        <w:rPr>
          <w:rFonts w:hint="eastAsia" w:ascii="宋体" w:hAnsi="宋体" w:cs="宋体"/>
          <w:b/>
          <w:bCs/>
          <w:sz w:val="28"/>
          <w:szCs w:val="24"/>
          <w:highlight w:val="none"/>
        </w:rPr>
        <w:br w:type="textWrapping"/>
      </w:r>
      <w:r>
        <w:rPr>
          <w:rFonts w:hint="eastAsia" w:ascii="宋体" w:hAnsi="宋体" w:cs="宋体"/>
          <w:sz w:val="28"/>
          <w:szCs w:val="24"/>
          <w:highlight w:val="none"/>
        </w:rPr>
        <w:t xml:space="preserve"> </w:t>
      </w:r>
    </w:p>
    <w:p w14:paraId="60606ECB">
      <w:pPr>
        <w:spacing w:line="54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附件：1. 施工单位前期考察评分表</w:t>
      </w:r>
    </w:p>
    <w:p w14:paraId="67B727C5">
      <w:pPr>
        <w:spacing w:line="540" w:lineRule="exact"/>
        <w:ind w:firstLine="1400" w:firstLineChars="500"/>
        <w:rPr>
          <w:rFonts w:hint="eastAsia" w:ascii="宋体" w:hAnsi="宋体" w:cs="宋体"/>
          <w:sz w:val="28"/>
          <w:szCs w:val="24"/>
          <w:highlight w:val="none"/>
        </w:rPr>
      </w:pPr>
      <w:r>
        <w:rPr>
          <w:rFonts w:hint="eastAsia" w:ascii="宋体" w:hAnsi="宋体" w:cs="宋体"/>
          <w:sz w:val="28"/>
          <w:szCs w:val="24"/>
          <w:highlight w:val="none"/>
        </w:rPr>
        <w:t>2.施工单位施工阶段考核评分表</w:t>
      </w:r>
    </w:p>
    <w:p w14:paraId="329DA398">
      <w:pPr>
        <w:pStyle w:val="7"/>
        <w:spacing w:line="540" w:lineRule="exact"/>
        <w:ind w:firstLine="1400" w:firstLineChars="500"/>
        <w:rPr>
          <w:rFonts w:hint="eastAsia"/>
          <w:sz w:val="28"/>
          <w:szCs w:val="22"/>
          <w:highlight w:val="none"/>
        </w:rPr>
      </w:pPr>
      <w:r>
        <w:rPr>
          <w:rFonts w:hint="eastAsia"/>
          <w:sz w:val="28"/>
          <w:szCs w:val="22"/>
          <w:highlight w:val="none"/>
        </w:rPr>
        <w:t>3.监理单位前期考察评分表</w:t>
      </w:r>
    </w:p>
    <w:p w14:paraId="428D18AD">
      <w:pPr>
        <w:spacing w:line="540" w:lineRule="exact"/>
        <w:ind w:firstLine="1400" w:firstLineChars="500"/>
        <w:rPr>
          <w:rFonts w:hint="eastAsia" w:ascii="宋体" w:hAnsi="宋体" w:cs="宋体"/>
          <w:sz w:val="28"/>
          <w:szCs w:val="24"/>
          <w:highlight w:val="none"/>
        </w:rPr>
      </w:pPr>
      <w:r>
        <w:rPr>
          <w:rFonts w:hint="eastAsia" w:ascii="宋体" w:hAnsi="宋体" w:cs="宋体"/>
          <w:sz w:val="28"/>
          <w:szCs w:val="24"/>
          <w:highlight w:val="none"/>
        </w:rPr>
        <w:t>4.监理单位监理阶段考核表</w:t>
      </w:r>
    </w:p>
    <w:p w14:paraId="459A1859">
      <w:pPr>
        <w:pStyle w:val="7"/>
        <w:spacing w:line="540" w:lineRule="exact"/>
        <w:ind w:firstLine="1400" w:firstLineChars="500"/>
        <w:rPr>
          <w:rFonts w:hint="eastAsia"/>
          <w:sz w:val="28"/>
          <w:szCs w:val="22"/>
          <w:highlight w:val="none"/>
        </w:rPr>
      </w:pPr>
      <w:r>
        <w:rPr>
          <w:rFonts w:hint="eastAsia"/>
          <w:sz w:val="28"/>
          <w:szCs w:val="22"/>
          <w:highlight w:val="none"/>
        </w:rPr>
        <w:t>5.整改单</w:t>
      </w:r>
    </w:p>
    <w:p w14:paraId="18AEE462">
      <w:pPr>
        <w:pStyle w:val="7"/>
        <w:spacing w:line="540" w:lineRule="exact"/>
        <w:ind w:firstLine="1400" w:firstLineChars="500"/>
        <w:rPr>
          <w:rFonts w:hint="eastAsia"/>
          <w:sz w:val="28"/>
          <w:szCs w:val="22"/>
          <w:highlight w:val="none"/>
        </w:rPr>
      </w:pPr>
      <w:r>
        <w:rPr>
          <w:rFonts w:hint="eastAsia"/>
          <w:sz w:val="28"/>
          <w:szCs w:val="22"/>
          <w:highlight w:val="none"/>
        </w:rPr>
        <w:t>6.施工单位、监理单位考核评定表</w:t>
      </w:r>
    </w:p>
    <w:p w14:paraId="69EA84B1">
      <w:pPr>
        <w:pStyle w:val="7"/>
        <w:rPr>
          <w:rFonts w:hint="eastAsia"/>
          <w:sz w:val="28"/>
          <w:szCs w:val="22"/>
          <w:highlight w:val="none"/>
        </w:rPr>
      </w:pPr>
    </w:p>
    <w:p w14:paraId="0C3A0D3B">
      <w:pPr>
        <w:spacing w:line="560" w:lineRule="exact"/>
        <w:rPr>
          <w:rFonts w:hint="eastAsia" w:ascii="宋体" w:hAnsi="宋体" w:cs="宋体"/>
          <w:sz w:val="28"/>
          <w:szCs w:val="24"/>
          <w:highlight w:val="none"/>
        </w:rPr>
      </w:pPr>
    </w:p>
    <w:p w14:paraId="37400F7B">
      <w:pPr>
        <w:spacing w:line="560" w:lineRule="exact"/>
        <w:rPr>
          <w:rFonts w:hint="eastAsia" w:ascii="宋体" w:hAnsi="宋体" w:cs="宋体"/>
          <w:sz w:val="28"/>
          <w:szCs w:val="24"/>
          <w:highlight w:val="none"/>
        </w:rPr>
      </w:pPr>
    </w:p>
    <w:p w14:paraId="39CF8DBB">
      <w:pPr>
        <w:spacing w:line="560" w:lineRule="exact"/>
        <w:rPr>
          <w:rFonts w:hint="eastAsia" w:ascii="宋体" w:hAnsi="宋体" w:cs="宋体"/>
          <w:sz w:val="28"/>
          <w:szCs w:val="24"/>
          <w:highlight w:val="none"/>
        </w:rPr>
      </w:pPr>
    </w:p>
    <w:p w14:paraId="3D591FBA">
      <w:pPr>
        <w:spacing w:line="560" w:lineRule="exact"/>
        <w:rPr>
          <w:rFonts w:hint="eastAsia" w:ascii="宋体" w:hAnsi="宋体" w:cs="宋体"/>
          <w:sz w:val="28"/>
          <w:szCs w:val="24"/>
          <w:highlight w:val="none"/>
        </w:rPr>
      </w:pPr>
    </w:p>
    <w:p w14:paraId="5680F269">
      <w:pPr>
        <w:spacing w:line="560" w:lineRule="exact"/>
        <w:rPr>
          <w:rFonts w:hint="eastAsia" w:ascii="宋体" w:hAnsi="宋体" w:cs="宋体"/>
          <w:sz w:val="28"/>
          <w:szCs w:val="24"/>
          <w:highlight w:val="none"/>
        </w:rPr>
      </w:pPr>
    </w:p>
    <w:p w14:paraId="40E01D39">
      <w:pPr>
        <w:spacing w:line="560" w:lineRule="exact"/>
        <w:rPr>
          <w:rFonts w:hint="eastAsia" w:ascii="宋体" w:hAnsi="宋体" w:cs="宋体"/>
          <w:sz w:val="28"/>
          <w:szCs w:val="24"/>
          <w:highlight w:val="none"/>
        </w:rPr>
      </w:pPr>
    </w:p>
    <w:p w14:paraId="4E51CBD8">
      <w:pPr>
        <w:widowControl/>
        <w:jc w:val="left"/>
        <w:rPr>
          <w:rFonts w:hint="eastAsia" w:ascii="宋体" w:hAnsi="宋体" w:cs="宋体"/>
          <w:sz w:val="28"/>
          <w:szCs w:val="24"/>
          <w:highlight w:val="none"/>
        </w:rPr>
      </w:pPr>
    </w:p>
    <w:p w14:paraId="49BDB658">
      <w:pPr>
        <w:pStyle w:val="5"/>
        <w:rPr>
          <w:rFonts w:hint="eastAsia" w:ascii="宋体" w:hAnsi="宋体" w:cs="宋体"/>
          <w:sz w:val="28"/>
          <w:szCs w:val="24"/>
          <w:highlight w:val="none"/>
        </w:rPr>
      </w:pPr>
    </w:p>
    <w:p w14:paraId="25E9F03E">
      <w:pPr>
        <w:rPr>
          <w:rFonts w:hint="eastAsia"/>
        </w:rPr>
      </w:pPr>
    </w:p>
    <w:p w14:paraId="3BA87321">
      <w:pPr>
        <w:rPr>
          <w:rFonts w:hint="eastAsia" w:ascii="宋体" w:hAnsi="宋体" w:cs="宋体"/>
          <w:sz w:val="28"/>
          <w:szCs w:val="24"/>
          <w:highlight w:val="none"/>
        </w:rPr>
      </w:pPr>
      <w:r>
        <w:rPr>
          <w:rFonts w:hint="eastAsia" w:ascii="宋体" w:hAnsi="宋体" w:cs="宋体"/>
          <w:sz w:val="28"/>
          <w:szCs w:val="24"/>
          <w:highlight w:val="none"/>
        </w:rPr>
        <w:br w:type="page"/>
      </w:r>
    </w:p>
    <w:p w14:paraId="2211C0B5">
      <w:pPr>
        <w:spacing w:line="340" w:lineRule="exact"/>
        <w:rPr>
          <w:rFonts w:hint="eastAsia" w:ascii="宋体" w:hAnsi="宋体" w:cs="宋体"/>
          <w:b/>
          <w:sz w:val="28"/>
          <w:szCs w:val="24"/>
          <w:highlight w:val="none"/>
        </w:rPr>
      </w:pPr>
      <w:r>
        <w:rPr>
          <w:rFonts w:hint="eastAsia" w:ascii="宋体" w:hAnsi="宋体" w:cs="宋体"/>
          <w:sz w:val="28"/>
          <w:szCs w:val="24"/>
          <w:highlight w:val="none"/>
        </w:rPr>
        <w:t xml:space="preserve">附件1                   </w:t>
      </w:r>
      <w:r>
        <w:rPr>
          <w:rFonts w:hint="eastAsia" w:ascii="宋体" w:hAnsi="宋体" w:cs="宋体"/>
          <w:b/>
          <w:sz w:val="28"/>
          <w:szCs w:val="24"/>
          <w:highlight w:val="none"/>
        </w:rPr>
        <w:t>施工单位前期考察评分表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984"/>
        <w:gridCol w:w="900"/>
        <w:gridCol w:w="1033"/>
        <w:gridCol w:w="1161"/>
        <w:gridCol w:w="1111"/>
        <w:gridCol w:w="1125"/>
        <w:gridCol w:w="651"/>
      </w:tblGrid>
      <w:tr w14:paraId="77B5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gridSpan w:val="2"/>
            <w:noWrap w:val="0"/>
            <w:vAlign w:val="top"/>
          </w:tcPr>
          <w:p w14:paraId="1BD81341">
            <w:pPr>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项目名称</w:t>
            </w:r>
          </w:p>
        </w:tc>
        <w:tc>
          <w:tcPr>
            <w:tcW w:w="900" w:type="dxa"/>
            <w:noWrap w:val="0"/>
            <w:vAlign w:val="top"/>
          </w:tcPr>
          <w:p w14:paraId="1C43C879">
            <w:pPr>
              <w:spacing w:line="340" w:lineRule="exact"/>
              <w:rPr>
                <w:rFonts w:hint="eastAsia" w:ascii="宋体" w:hAnsi="宋体" w:cs="宋体"/>
                <w:sz w:val="28"/>
                <w:szCs w:val="24"/>
                <w:highlight w:val="none"/>
              </w:rPr>
            </w:pPr>
            <w:r>
              <w:rPr>
                <w:rFonts w:hint="eastAsia" w:ascii="宋体" w:hAnsi="宋体" w:cs="宋体"/>
                <w:sz w:val="28"/>
                <w:szCs w:val="24"/>
                <w:highlight w:val="none"/>
              </w:rPr>
              <w:t>分值</w:t>
            </w:r>
          </w:p>
        </w:tc>
        <w:tc>
          <w:tcPr>
            <w:tcW w:w="1033" w:type="dxa"/>
            <w:noWrap w:val="0"/>
            <w:vAlign w:val="top"/>
          </w:tcPr>
          <w:p w14:paraId="1433B128">
            <w:pPr>
              <w:spacing w:line="340" w:lineRule="exact"/>
              <w:rPr>
                <w:rFonts w:hint="eastAsia" w:ascii="宋体" w:hAnsi="宋体" w:cs="宋体"/>
                <w:sz w:val="28"/>
                <w:szCs w:val="24"/>
                <w:highlight w:val="none"/>
              </w:rPr>
            </w:pPr>
            <w:r>
              <w:rPr>
                <w:rFonts w:hint="eastAsia" w:ascii="宋体" w:hAnsi="宋体" w:cs="宋体"/>
                <w:sz w:val="28"/>
                <w:szCs w:val="24"/>
                <w:highlight w:val="none"/>
              </w:rPr>
              <w:t>好100％</w:t>
            </w:r>
          </w:p>
        </w:tc>
        <w:tc>
          <w:tcPr>
            <w:tcW w:w="1161" w:type="dxa"/>
            <w:noWrap w:val="0"/>
            <w:vAlign w:val="top"/>
          </w:tcPr>
          <w:p w14:paraId="618D64D8">
            <w:pPr>
              <w:spacing w:line="340" w:lineRule="exact"/>
              <w:rPr>
                <w:rFonts w:hint="eastAsia" w:ascii="宋体" w:hAnsi="宋体" w:cs="宋体"/>
                <w:sz w:val="28"/>
                <w:szCs w:val="24"/>
                <w:highlight w:val="none"/>
              </w:rPr>
            </w:pPr>
            <w:r>
              <w:rPr>
                <w:rFonts w:hint="eastAsia" w:ascii="宋体" w:hAnsi="宋体" w:cs="宋体"/>
                <w:sz w:val="28"/>
                <w:szCs w:val="24"/>
                <w:highlight w:val="none"/>
              </w:rPr>
              <w:t>较好80％</w:t>
            </w:r>
          </w:p>
        </w:tc>
        <w:tc>
          <w:tcPr>
            <w:tcW w:w="1111" w:type="dxa"/>
            <w:noWrap w:val="0"/>
            <w:vAlign w:val="top"/>
          </w:tcPr>
          <w:p w14:paraId="71995D86">
            <w:pPr>
              <w:spacing w:line="340" w:lineRule="exact"/>
              <w:rPr>
                <w:rFonts w:hint="eastAsia" w:ascii="宋体" w:hAnsi="宋体" w:cs="宋体"/>
                <w:sz w:val="28"/>
                <w:szCs w:val="24"/>
                <w:highlight w:val="none"/>
              </w:rPr>
            </w:pPr>
            <w:r>
              <w:rPr>
                <w:rFonts w:hint="eastAsia" w:ascii="宋体" w:hAnsi="宋体" w:cs="宋体"/>
                <w:sz w:val="28"/>
                <w:szCs w:val="24"/>
                <w:highlight w:val="none"/>
              </w:rPr>
              <w:t>一般60％</w:t>
            </w:r>
          </w:p>
        </w:tc>
        <w:tc>
          <w:tcPr>
            <w:tcW w:w="1125" w:type="dxa"/>
            <w:noWrap w:val="0"/>
            <w:vAlign w:val="top"/>
          </w:tcPr>
          <w:p w14:paraId="1DF0DBAA">
            <w:pPr>
              <w:spacing w:line="340" w:lineRule="exact"/>
              <w:rPr>
                <w:rFonts w:hint="eastAsia" w:ascii="宋体" w:hAnsi="宋体" w:cs="宋体"/>
                <w:sz w:val="28"/>
                <w:szCs w:val="24"/>
                <w:highlight w:val="none"/>
              </w:rPr>
            </w:pPr>
            <w:r>
              <w:rPr>
                <w:rFonts w:hint="eastAsia" w:ascii="宋体" w:hAnsi="宋体" w:cs="宋体"/>
                <w:sz w:val="28"/>
                <w:szCs w:val="24"/>
                <w:highlight w:val="none"/>
              </w:rPr>
              <w:t>较差20％</w:t>
            </w:r>
          </w:p>
        </w:tc>
        <w:tc>
          <w:tcPr>
            <w:tcW w:w="651" w:type="dxa"/>
            <w:noWrap w:val="0"/>
            <w:vAlign w:val="top"/>
          </w:tcPr>
          <w:p w14:paraId="79B381EB">
            <w:pPr>
              <w:spacing w:line="340" w:lineRule="exact"/>
              <w:rPr>
                <w:rFonts w:hint="eastAsia" w:ascii="宋体" w:hAnsi="宋体" w:cs="宋体"/>
                <w:sz w:val="28"/>
                <w:szCs w:val="24"/>
                <w:highlight w:val="none"/>
              </w:rPr>
            </w:pPr>
            <w:r>
              <w:rPr>
                <w:rFonts w:hint="eastAsia" w:ascii="宋体" w:hAnsi="宋体" w:cs="宋体"/>
                <w:sz w:val="28"/>
                <w:szCs w:val="24"/>
                <w:highlight w:val="none"/>
              </w:rPr>
              <w:t>差0</w:t>
            </w:r>
          </w:p>
        </w:tc>
      </w:tr>
      <w:tr w14:paraId="3C99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restart"/>
            <w:noWrap w:val="0"/>
            <w:vAlign w:val="center"/>
          </w:tcPr>
          <w:p w14:paraId="0CD923C6">
            <w:pPr>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公司考察</w:t>
            </w:r>
          </w:p>
          <w:p w14:paraId="11DCFB10">
            <w:pPr>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（20分）</w:t>
            </w:r>
          </w:p>
        </w:tc>
        <w:tc>
          <w:tcPr>
            <w:tcW w:w="1984" w:type="dxa"/>
            <w:noWrap w:val="0"/>
            <w:vAlign w:val="top"/>
          </w:tcPr>
          <w:p w14:paraId="7ADA4B69">
            <w:pPr>
              <w:spacing w:line="340" w:lineRule="exact"/>
              <w:rPr>
                <w:rFonts w:hint="eastAsia" w:ascii="宋体" w:hAnsi="宋体" w:cs="宋体"/>
                <w:sz w:val="28"/>
                <w:szCs w:val="24"/>
                <w:highlight w:val="none"/>
              </w:rPr>
            </w:pPr>
            <w:r>
              <w:rPr>
                <w:rFonts w:hint="eastAsia" w:ascii="宋体" w:hAnsi="宋体" w:cs="宋体"/>
                <w:sz w:val="28"/>
                <w:szCs w:val="24"/>
                <w:highlight w:val="none"/>
              </w:rPr>
              <w:t>近年业绩和经营</w:t>
            </w:r>
          </w:p>
        </w:tc>
        <w:tc>
          <w:tcPr>
            <w:tcW w:w="900" w:type="dxa"/>
            <w:noWrap w:val="0"/>
            <w:vAlign w:val="top"/>
          </w:tcPr>
          <w:p w14:paraId="2D3A32F0">
            <w:pPr>
              <w:spacing w:line="340" w:lineRule="exact"/>
              <w:rPr>
                <w:rFonts w:hint="eastAsia" w:ascii="宋体" w:hAnsi="宋体" w:cs="宋体"/>
                <w:sz w:val="28"/>
                <w:szCs w:val="24"/>
                <w:highlight w:val="none"/>
              </w:rPr>
            </w:pPr>
            <w:r>
              <w:rPr>
                <w:rFonts w:hint="eastAsia" w:ascii="宋体" w:hAnsi="宋体" w:cs="宋体"/>
                <w:sz w:val="28"/>
                <w:szCs w:val="24"/>
                <w:highlight w:val="none"/>
              </w:rPr>
              <w:t>4分</w:t>
            </w:r>
          </w:p>
        </w:tc>
        <w:tc>
          <w:tcPr>
            <w:tcW w:w="1033" w:type="dxa"/>
            <w:noWrap w:val="0"/>
            <w:vAlign w:val="top"/>
          </w:tcPr>
          <w:p w14:paraId="45B3AA07">
            <w:pPr>
              <w:spacing w:line="340" w:lineRule="exact"/>
              <w:rPr>
                <w:rFonts w:hint="eastAsia" w:ascii="宋体" w:hAnsi="宋体" w:cs="宋体"/>
                <w:sz w:val="28"/>
                <w:szCs w:val="24"/>
                <w:highlight w:val="none"/>
              </w:rPr>
            </w:pPr>
          </w:p>
        </w:tc>
        <w:tc>
          <w:tcPr>
            <w:tcW w:w="1161" w:type="dxa"/>
            <w:noWrap w:val="0"/>
            <w:vAlign w:val="top"/>
          </w:tcPr>
          <w:p w14:paraId="3153B3C7">
            <w:pPr>
              <w:spacing w:line="340" w:lineRule="exact"/>
              <w:rPr>
                <w:rFonts w:hint="eastAsia" w:ascii="宋体" w:hAnsi="宋体" w:cs="宋体"/>
                <w:sz w:val="28"/>
                <w:szCs w:val="24"/>
                <w:highlight w:val="none"/>
              </w:rPr>
            </w:pPr>
          </w:p>
        </w:tc>
        <w:tc>
          <w:tcPr>
            <w:tcW w:w="1111" w:type="dxa"/>
            <w:noWrap w:val="0"/>
            <w:vAlign w:val="top"/>
          </w:tcPr>
          <w:p w14:paraId="5BAB0E47">
            <w:pPr>
              <w:spacing w:line="340" w:lineRule="exact"/>
              <w:rPr>
                <w:rFonts w:hint="eastAsia" w:ascii="宋体" w:hAnsi="宋体" w:cs="宋体"/>
                <w:sz w:val="28"/>
                <w:szCs w:val="24"/>
                <w:highlight w:val="none"/>
              </w:rPr>
            </w:pPr>
          </w:p>
        </w:tc>
        <w:tc>
          <w:tcPr>
            <w:tcW w:w="1125" w:type="dxa"/>
            <w:noWrap w:val="0"/>
            <w:vAlign w:val="top"/>
          </w:tcPr>
          <w:p w14:paraId="6BA4B4B3">
            <w:pPr>
              <w:spacing w:line="340" w:lineRule="exact"/>
              <w:rPr>
                <w:rFonts w:hint="eastAsia" w:ascii="宋体" w:hAnsi="宋体" w:cs="宋体"/>
                <w:sz w:val="28"/>
                <w:szCs w:val="24"/>
                <w:highlight w:val="none"/>
              </w:rPr>
            </w:pPr>
          </w:p>
        </w:tc>
        <w:tc>
          <w:tcPr>
            <w:tcW w:w="651" w:type="dxa"/>
            <w:noWrap w:val="0"/>
            <w:vAlign w:val="top"/>
          </w:tcPr>
          <w:p w14:paraId="398C76E1">
            <w:pPr>
              <w:spacing w:line="340" w:lineRule="exact"/>
              <w:rPr>
                <w:rFonts w:hint="eastAsia" w:ascii="宋体" w:hAnsi="宋体" w:cs="宋体"/>
                <w:sz w:val="28"/>
                <w:szCs w:val="24"/>
                <w:highlight w:val="none"/>
              </w:rPr>
            </w:pPr>
          </w:p>
        </w:tc>
      </w:tr>
      <w:tr w14:paraId="5360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39345065">
            <w:pPr>
              <w:spacing w:line="340" w:lineRule="exact"/>
              <w:jc w:val="center"/>
              <w:rPr>
                <w:rFonts w:hint="eastAsia" w:ascii="宋体" w:hAnsi="宋体" w:cs="宋体"/>
                <w:sz w:val="28"/>
                <w:szCs w:val="24"/>
                <w:highlight w:val="none"/>
              </w:rPr>
            </w:pPr>
          </w:p>
        </w:tc>
        <w:tc>
          <w:tcPr>
            <w:tcW w:w="1984" w:type="dxa"/>
            <w:noWrap w:val="0"/>
            <w:vAlign w:val="top"/>
          </w:tcPr>
          <w:p w14:paraId="7B764214">
            <w:pPr>
              <w:spacing w:line="340" w:lineRule="exact"/>
              <w:rPr>
                <w:rFonts w:hint="eastAsia" w:ascii="宋体" w:hAnsi="宋体" w:cs="宋体"/>
                <w:sz w:val="28"/>
                <w:szCs w:val="24"/>
                <w:highlight w:val="none"/>
              </w:rPr>
            </w:pPr>
            <w:r>
              <w:rPr>
                <w:rFonts w:hint="eastAsia" w:ascii="宋体" w:hAnsi="宋体" w:cs="宋体"/>
                <w:sz w:val="28"/>
                <w:szCs w:val="24"/>
                <w:highlight w:val="none"/>
              </w:rPr>
              <w:t>企业和项目管理部</w:t>
            </w:r>
          </w:p>
        </w:tc>
        <w:tc>
          <w:tcPr>
            <w:tcW w:w="900" w:type="dxa"/>
            <w:noWrap w:val="0"/>
            <w:vAlign w:val="top"/>
          </w:tcPr>
          <w:p w14:paraId="2899002B">
            <w:pPr>
              <w:spacing w:line="340" w:lineRule="exact"/>
              <w:rPr>
                <w:rFonts w:hint="eastAsia" w:ascii="宋体" w:hAnsi="宋体" w:cs="宋体"/>
                <w:sz w:val="28"/>
                <w:szCs w:val="24"/>
                <w:highlight w:val="none"/>
              </w:rPr>
            </w:pPr>
            <w:r>
              <w:rPr>
                <w:rFonts w:hint="eastAsia" w:ascii="宋体" w:hAnsi="宋体" w:cs="宋体"/>
                <w:sz w:val="28"/>
                <w:szCs w:val="24"/>
                <w:highlight w:val="none"/>
              </w:rPr>
              <w:t>4分</w:t>
            </w:r>
          </w:p>
        </w:tc>
        <w:tc>
          <w:tcPr>
            <w:tcW w:w="1033" w:type="dxa"/>
            <w:noWrap w:val="0"/>
            <w:vAlign w:val="top"/>
          </w:tcPr>
          <w:p w14:paraId="64999249">
            <w:pPr>
              <w:spacing w:line="340" w:lineRule="exact"/>
              <w:rPr>
                <w:rFonts w:hint="eastAsia" w:ascii="宋体" w:hAnsi="宋体" w:cs="宋体"/>
                <w:sz w:val="28"/>
                <w:szCs w:val="24"/>
                <w:highlight w:val="none"/>
              </w:rPr>
            </w:pPr>
          </w:p>
        </w:tc>
        <w:tc>
          <w:tcPr>
            <w:tcW w:w="1161" w:type="dxa"/>
            <w:noWrap w:val="0"/>
            <w:vAlign w:val="top"/>
          </w:tcPr>
          <w:p w14:paraId="46E0860B">
            <w:pPr>
              <w:spacing w:line="340" w:lineRule="exact"/>
              <w:rPr>
                <w:rFonts w:hint="eastAsia" w:ascii="宋体" w:hAnsi="宋体" w:cs="宋体"/>
                <w:sz w:val="28"/>
                <w:szCs w:val="24"/>
                <w:highlight w:val="none"/>
              </w:rPr>
            </w:pPr>
          </w:p>
        </w:tc>
        <w:tc>
          <w:tcPr>
            <w:tcW w:w="1111" w:type="dxa"/>
            <w:noWrap w:val="0"/>
            <w:vAlign w:val="top"/>
          </w:tcPr>
          <w:p w14:paraId="138CA244">
            <w:pPr>
              <w:spacing w:line="340" w:lineRule="exact"/>
              <w:rPr>
                <w:rFonts w:hint="eastAsia" w:ascii="宋体" w:hAnsi="宋体" w:cs="宋体"/>
                <w:sz w:val="28"/>
                <w:szCs w:val="24"/>
                <w:highlight w:val="none"/>
              </w:rPr>
            </w:pPr>
          </w:p>
        </w:tc>
        <w:tc>
          <w:tcPr>
            <w:tcW w:w="1125" w:type="dxa"/>
            <w:noWrap w:val="0"/>
            <w:vAlign w:val="top"/>
          </w:tcPr>
          <w:p w14:paraId="0E70EC9F">
            <w:pPr>
              <w:spacing w:line="340" w:lineRule="exact"/>
              <w:rPr>
                <w:rFonts w:hint="eastAsia" w:ascii="宋体" w:hAnsi="宋体" w:cs="宋体"/>
                <w:sz w:val="28"/>
                <w:szCs w:val="24"/>
                <w:highlight w:val="none"/>
              </w:rPr>
            </w:pPr>
          </w:p>
        </w:tc>
        <w:tc>
          <w:tcPr>
            <w:tcW w:w="651" w:type="dxa"/>
            <w:noWrap w:val="0"/>
            <w:vAlign w:val="top"/>
          </w:tcPr>
          <w:p w14:paraId="1ABE3F2D">
            <w:pPr>
              <w:spacing w:line="340" w:lineRule="exact"/>
              <w:rPr>
                <w:rFonts w:hint="eastAsia" w:ascii="宋体" w:hAnsi="宋体" w:cs="宋体"/>
                <w:sz w:val="28"/>
                <w:szCs w:val="24"/>
                <w:highlight w:val="none"/>
              </w:rPr>
            </w:pPr>
          </w:p>
        </w:tc>
      </w:tr>
      <w:tr w14:paraId="5CF9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72490720">
            <w:pPr>
              <w:spacing w:line="340" w:lineRule="exact"/>
              <w:jc w:val="center"/>
              <w:rPr>
                <w:rFonts w:hint="eastAsia" w:ascii="宋体" w:hAnsi="宋体" w:cs="宋体"/>
                <w:sz w:val="28"/>
                <w:szCs w:val="24"/>
                <w:highlight w:val="none"/>
              </w:rPr>
            </w:pPr>
          </w:p>
        </w:tc>
        <w:tc>
          <w:tcPr>
            <w:tcW w:w="1984" w:type="dxa"/>
            <w:noWrap w:val="0"/>
            <w:vAlign w:val="top"/>
          </w:tcPr>
          <w:p w14:paraId="756DCD72">
            <w:pPr>
              <w:spacing w:line="340" w:lineRule="exact"/>
              <w:rPr>
                <w:rFonts w:hint="eastAsia" w:ascii="宋体" w:hAnsi="宋体" w:cs="宋体"/>
                <w:sz w:val="28"/>
                <w:szCs w:val="24"/>
                <w:highlight w:val="none"/>
              </w:rPr>
            </w:pPr>
            <w:r>
              <w:rPr>
                <w:rFonts w:hint="eastAsia" w:ascii="宋体" w:hAnsi="宋体" w:cs="宋体"/>
                <w:sz w:val="28"/>
                <w:szCs w:val="24"/>
                <w:highlight w:val="none"/>
              </w:rPr>
              <w:t>对合作的重视</w:t>
            </w:r>
          </w:p>
        </w:tc>
        <w:tc>
          <w:tcPr>
            <w:tcW w:w="900" w:type="dxa"/>
            <w:noWrap w:val="0"/>
            <w:vAlign w:val="top"/>
          </w:tcPr>
          <w:p w14:paraId="0B23DF99">
            <w:pPr>
              <w:spacing w:line="340" w:lineRule="exact"/>
              <w:rPr>
                <w:rFonts w:hint="eastAsia" w:ascii="宋体" w:hAnsi="宋体" w:cs="宋体"/>
                <w:sz w:val="28"/>
                <w:szCs w:val="24"/>
                <w:highlight w:val="none"/>
              </w:rPr>
            </w:pPr>
            <w:r>
              <w:rPr>
                <w:rFonts w:hint="eastAsia" w:ascii="宋体" w:hAnsi="宋体" w:cs="宋体"/>
                <w:sz w:val="28"/>
                <w:szCs w:val="24"/>
                <w:highlight w:val="none"/>
              </w:rPr>
              <w:t>4分</w:t>
            </w:r>
          </w:p>
        </w:tc>
        <w:tc>
          <w:tcPr>
            <w:tcW w:w="1033" w:type="dxa"/>
            <w:noWrap w:val="0"/>
            <w:vAlign w:val="top"/>
          </w:tcPr>
          <w:p w14:paraId="6B554D39">
            <w:pPr>
              <w:spacing w:line="340" w:lineRule="exact"/>
              <w:rPr>
                <w:rFonts w:hint="eastAsia" w:ascii="宋体" w:hAnsi="宋体" w:cs="宋体"/>
                <w:sz w:val="28"/>
                <w:szCs w:val="24"/>
                <w:highlight w:val="none"/>
              </w:rPr>
            </w:pPr>
          </w:p>
        </w:tc>
        <w:tc>
          <w:tcPr>
            <w:tcW w:w="1161" w:type="dxa"/>
            <w:noWrap w:val="0"/>
            <w:vAlign w:val="top"/>
          </w:tcPr>
          <w:p w14:paraId="1398E6F4">
            <w:pPr>
              <w:spacing w:line="340" w:lineRule="exact"/>
              <w:rPr>
                <w:rFonts w:hint="eastAsia" w:ascii="宋体" w:hAnsi="宋体" w:cs="宋体"/>
                <w:sz w:val="28"/>
                <w:szCs w:val="24"/>
                <w:highlight w:val="none"/>
              </w:rPr>
            </w:pPr>
          </w:p>
        </w:tc>
        <w:tc>
          <w:tcPr>
            <w:tcW w:w="1111" w:type="dxa"/>
            <w:noWrap w:val="0"/>
            <w:vAlign w:val="top"/>
          </w:tcPr>
          <w:p w14:paraId="1894C80B">
            <w:pPr>
              <w:spacing w:line="340" w:lineRule="exact"/>
              <w:rPr>
                <w:rFonts w:hint="eastAsia" w:ascii="宋体" w:hAnsi="宋体" w:cs="宋体"/>
                <w:sz w:val="28"/>
                <w:szCs w:val="24"/>
                <w:highlight w:val="none"/>
              </w:rPr>
            </w:pPr>
          </w:p>
        </w:tc>
        <w:tc>
          <w:tcPr>
            <w:tcW w:w="1125" w:type="dxa"/>
            <w:noWrap w:val="0"/>
            <w:vAlign w:val="top"/>
          </w:tcPr>
          <w:p w14:paraId="4EDE51A1">
            <w:pPr>
              <w:spacing w:line="340" w:lineRule="exact"/>
              <w:rPr>
                <w:rFonts w:hint="eastAsia" w:ascii="宋体" w:hAnsi="宋体" w:cs="宋体"/>
                <w:sz w:val="28"/>
                <w:szCs w:val="24"/>
                <w:highlight w:val="none"/>
              </w:rPr>
            </w:pPr>
          </w:p>
        </w:tc>
        <w:tc>
          <w:tcPr>
            <w:tcW w:w="651" w:type="dxa"/>
            <w:noWrap w:val="0"/>
            <w:vAlign w:val="top"/>
          </w:tcPr>
          <w:p w14:paraId="4DC38E5C">
            <w:pPr>
              <w:spacing w:line="340" w:lineRule="exact"/>
              <w:rPr>
                <w:rFonts w:hint="eastAsia" w:ascii="宋体" w:hAnsi="宋体" w:cs="宋体"/>
                <w:sz w:val="28"/>
                <w:szCs w:val="24"/>
                <w:highlight w:val="none"/>
              </w:rPr>
            </w:pPr>
          </w:p>
        </w:tc>
      </w:tr>
      <w:tr w14:paraId="2EC3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499CA9F2">
            <w:pPr>
              <w:spacing w:line="340" w:lineRule="exact"/>
              <w:jc w:val="center"/>
              <w:rPr>
                <w:rFonts w:hint="eastAsia" w:ascii="宋体" w:hAnsi="宋体" w:cs="宋体"/>
                <w:sz w:val="28"/>
                <w:szCs w:val="24"/>
                <w:highlight w:val="none"/>
              </w:rPr>
            </w:pPr>
          </w:p>
        </w:tc>
        <w:tc>
          <w:tcPr>
            <w:tcW w:w="1984" w:type="dxa"/>
            <w:noWrap w:val="0"/>
            <w:vAlign w:val="top"/>
          </w:tcPr>
          <w:p w14:paraId="1224C70B">
            <w:pPr>
              <w:spacing w:line="340" w:lineRule="exact"/>
              <w:rPr>
                <w:rFonts w:hint="eastAsia" w:ascii="宋体" w:hAnsi="宋体" w:cs="宋体"/>
                <w:sz w:val="28"/>
                <w:szCs w:val="24"/>
                <w:highlight w:val="none"/>
              </w:rPr>
            </w:pPr>
            <w:r>
              <w:rPr>
                <w:rFonts w:hint="eastAsia" w:ascii="宋体" w:hAnsi="宋体" w:cs="宋体"/>
                <w:sz w:val="28"/>
                <w:szCs w:val="24"/>
                <w:highlight w:val="none"/>
              </w:rPr>
              <w:t>经营管理体制</w:t>
            </w:r>
          </w:p>
        </w:tc>
        <w:tc>
          <w:tcPr>
            <w:tcW w:w="900" w:type="dxa"/>
            <w:noWrap w:val="0"/>
            <w:vAlign w:val="top"/>
          </w:tcPr>
          <w:p w14:paraId="60F300C4">
            <w:pPr>
              <w:spacing w:line="340" w:lineRule="exact"/>
              <w:rPr>
                <w:rFonts w:hint="eastAsia" w:ascii="宋体" w:hAnsi="宋体" w:cs="宋体"/>
                <w:sz w:val="28"/>
                <w:szCs w:val="24"/>
                <w:highlight w:val="none"/>
              </w:rPr>
            </w:pPr>
            <w:r>
              <w:rPr>
                <w:rFonts w:hint="eastAsia" w:ascii="宋体" w:hAnsi="宋体" w:cs="宋体"/>
                <w:sz w:val="28"/>
                <w:szCs w:val="24"/>
                <w:highlight w:val="none"/>
              </w:rPr>
              <w:t>4分</w:t>
            </w:r>
          </w:p>
        </w:tc>
        <w:tc>
          <w:tcPr>
            <w:tcW w:w="1033" w:type="dxa"/>
            <w:noWrap w:val="0"/>
            <w:vAlign w:val="top"/>
          </w:tcPr>
          <w:p w14:paraId="1FE2477E">
            <w:pPr>
              <w:spacing w:line="340" w:lineRule="exact"/>
              <w:rPr>
                <w:rFonts w:hint="eastAsia" w:ascii="宋体" w:hAnsi="宋体" w:cs="宋体"/>
                <w:sz w:val="28"/>
                <w:szCs w:val="24"/>
                <w:highlight w:val="none"/>
              </w:rPr>
            </w:pPr>
          </w:p>
        </w:tc>
        <w:tc>
          <w:tcPr>
            <w:tcW w:w="1161" w:type="dxa"/>
            <w:noWrap w:val="0"/>
            <w:vAlign w:val="top"/>
          </w:tcPr>
          <w:p w14:paraId="53F4FD53">
            <w:pPr>
              <w:spacing w:line="340" w:lineRule="exact"/>
              <w:rPr>
                <w:rFonts w:hint="eastAsia" w:ascii="宋体" w:hAnsi="宋体" w:cs="宋体"/>
                <w:sz w:val="28"/>
                <w:szCs w:val="24"/>
                <w:highlight w:val="none"/>
              </w:rPr>
            </w:pPr>
          </w:p>
        </w:tc>
        <w:tc>
          <w:tcPr>
            <w:tcW w:w="1111" w:type="dxa"/>
            <w:noWrap w:val="0"/>
            <w:vAlign w:val="top"/>
          </w:tcPr>
          <w:p w14:paraId="75415D8B">
            <w:pPr>
              <w:spacing w:line="340" w:lineRule="exact"/>
              <w:rPr>
                <w:rFonts w:hint="eastAsia" w:ascii="宋体" w:hAnsi="宋体" w:cs="宋体"/>
                <w:sz w:val="28"/>
                <w:szCs w:val="24"/>
                <w:highlight w:val="none"/>
              </w:rPr>
            </w:pPr>
          </w:p>
        </w:tc>
        <w:tc>
          <w:tcPr>
            <w:tcW w:w="1125" w:type="dxa"/>
            <w:noWrap w:val="0"/>
            <w:vAlign w:val="top"/>
          </w:tcPr>
          <w:p w14:paraId="167906F0">
            <w:pPr>
              <w:spacing w:line="340" w:lineRule="exact"/>
              <w:rPr>
                <w:rFonts w:hint="eastAsia" w:ascii="宋体" w:hAnsi="宋体" w:cs="宋体"/>
                <w:sz w:val="28"/>
                <w:szCs w:val="24"/>
                <w:highlight w:val="none"/>
              </w:rPr>
            </w:pPr>
          </w:p>
        </w:tc>
        <w:tc>
          <w:tcPr>
            <w:tcW w:w="651" w:type="dxa"/>
            <w:noWrap w:val="0"/>
            <w:vAlign w:val="top"/>
          </w:tcPr>
          <w:p w14:paraId="69526C05">
            <w:pPr>
              <w:spacing w:line="340" w:lineRule="exact"/>
              <w:rPr>
                <w:rFonts w:hint="eastAsia" w:ascii="宋体" w:hAnsi="宋体" w:cs="宋体"/>
                <w:sz w:val="28"/>
                <w:szCs w:val="24"/>
                <w:highlight w:val="none"/>
              </w:rPr>
            </w:pPr>
          </w:p>
        </w:tc>
      </w:tr>
      <w:tr w14:paraId="136A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5A3738F1">
            <w:pPr>
              <w:spacing w:line="340" w:lineRule="exact"/>
              <w:jc w:val="center"/>
              <w:rPr>
                <w:rFonts w:hint="eastAsia" w:ascii="宋体" w:hAnsi="宋体" w:cs="宋体"/>
                <w:sz w:val="28"/>
                <w:szCs w:val="24"/>
                <w:highlight w:val="none"/>
              </w:rPr>
            </w:pPr>
          </w:p>
        </w:tc>
        <w:tc>
          <w:tcPr>
            <w:tcW w:w="1984" w:type="dxa"/>
            <w:noWrap w:val="0"/>
            <w:vAlign w:val="top"/>
          </w:tcPr>
          <w:p w14:paraId="1F4A86D0">
            <w:pPr>
              <w:spacing w:line="340" w:lineRule="exact"/>
              <w:rPr>
                <w:rFonts w:hint="eastAsia" w:ascii="宋体" w:hAnsi="宋体" w:cs="宋体"/>
                <w:sz w:val="28"/>
                <w:szCs w:val="24"/>
                <w:highlight w:val="none"/>
              </w:rPr>
            </w:pPr>
            <w:r>
              <w:rPr>
                <w:rFonts w:hint="eastAsia" w:ascii="宋体" w:hAnsi="宋体" w:cs="宋体"/>
                <w:sz w:val="28"/>
                <w:szCs w:val="24"/>
                <w:highlight w:val="none"/>
              </w:rPr>
              <w:t>对项目经理部的管理</w:t>
            </w:r>
          </w:p>
        </w:tc>
        <w:tc>
          <w:tcPr>
            <w:tcW w:w="900" w:type="dxa"/>
            <w:noWrap w:val="0"/>
            <w:vAlign w:val="top"/>
          </w:tcPr>
          <w:p w14:paraId="26C50211">
            <w:pPr>
              <w:spacing w:line="340" w:lineRule="exact"/>
              <w:rPr>
                <w:rFonts w:hint="eastAsia" w:ascii="宋体" w:hAnsi="宋体" w:cs="宋体"/>
                <w:sz w:val="28"/>
                <w:szCs w:val="24"/>
                <w:highlight w:val="none"/>
              </w:rPr>
            </w:pPr>
            <w:r>
              <w:rPr>
                <w:rFonts w:hint="eastAsia" w:ascii="宋体" w:hAnsi="宋体" w:cs="宋体"/>
                <w:sz w:val="28"/>
                <w:szCs w:val="24"/>
                <w:highlight w:val="none"/>
              </w:rPr>
              <w:t>4分</w:t>
            </w:r>
          </w:p>
        </w:tc>
        <w:tc>
          <w:tcPr>
            <w:tcW w:w="1033" w:type="dxa"/>
            <w:noWrap w:val="0"/>
            <w:vAlign w:val="top"/>
          </w:tcPr>
          <w:p w14:paraId="341A03E9">
            <w:pPr>
              <w:spacing w:line="340" w:lineRule="exact"/>
              <w:rPr>
                <w:rFonts w:hint="eastAsia" w:ascii="宋体" w:hAnsi="宋体" w:cs="宋体"/>
                <w:sz w:val="28"/>
                <w:szCs w:val="24"/>
                <w:highlight w:val="none"/>
              </w:rPr>
            </w:pPr>
          </w:p>
        </w:tc>
        <w:tc>
          <w:tcPr>
            <w:tcW w:w="1161" w:type="dxa"/>
            <w:noWrap w:val="0"/>
            <w:vAlign w:val="top"/>
          </w:tcPr>
          <w:p w14:paraId="1BBA8680">
            <w:pPr>
              <w:spacing w:line="340" w:lineRule="exact"/>
              <w:rPr>
                <w:rFonts w:hint="eastAsia" w:ascii="宋体" w:hAnsi="宋体" w:cs="宋体"/>
                <w:sz w:val="28"/>
                <w:szCs w:val="24"/>
                <w:highlight w:val="none"/>
              </w:rPr>
            </w:pPr>
          </w:p>
        </w:tc>
        <w:tc>
          <w:tcPr>
            <w:tcW w:w="1111" w:type="dxa"/>
            <w:noWrap w:val="0"/>
            <w:vAlign w:val="top"/>
          </w:tcPr>
          <w:p w14:paraId="2461A6E3">
            <w:pPr>
              <w:spacing w:line="340" w:lineRule="exact"/>
              <w:rPr>
                <w:rFonts w:hint="eastAsia" w:ascii="宋体" w:hAnsi="宋体" w:cs="宋体"/>
                <w:sz w:val="28"/>
                <w:szCs w:val="24"/>
                <w:highlight w:val="none"/>
              </w:rPr>
            </w:pPr>
          </w:p>
        </w:tc>
        <w:tc>
          <w:tcPr>
            <w:tcW w:w="1125" w:type="dxa"/>
            <w:noWrap w:val="0"/>
            <w:vAlign w:val="top"/>
          </w:tcPr>
          <w:p w14:paraId="044837EC">
            <w:pPr>
              <w:spacing w:line="340" w:lineRule="exact"/>
              <w:rPr>
                <w:rFonts w:hint="eastAsia" w:ascii="宋体" w:hAnsi="宋体" w:cs="宋体"/>
                <w:sz w:val="28"/>
                <w:szCs w:val="24"/>
                <w:highlight w:val="none"/>
              </w:rPr>
            </w:pPr>
          </w:p>
        </w:tc>
        <w:tc>
          <w:tcPr>
            <w:tcW w:w="651" w:type="dxa"/>
            <w:noWrap w:val="0"/>
            <w:vAlign w:val="top"/>
          </w:tcPr>
          <w:p w14:paraId="79DBCB3B">
            <w:pPr>
              <w:spacing w:line="340" w:lineRule="exact"/>
              <w:rPr>
                <w:rFonts w:hint="eastAsia" w:ascii="宋体" w:hAnsi="宋体" w:cs="宋体"/>
                <w:sz w:val="28"/>
                <w:szCs w:val="24"/>
                <w:highlight w:val="none"/>
              </w:rPr>
            </w:pPr>
          </w:p>
        </w:tc>
      </w:tr>
      <w:tr w14:paraId="672E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95" w:type="dxa"/>
            <w:vMerge w:val="restart"/>
            <w:noWrap w:val="0"/>
            <w:vAlign w:val="center"/>
          </w:tcPr>
          <w:p w14:paraId="640771F1">
            <w:pPr>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项目管理部和管理人员（40分）</w:t>
            </w:r>
          </w:p>
        </w:tc>
        <w:tc>
          <w:tcPr>
            <w:tcW w:w="1984" w:type="dxa"/>
            <w:noWrap w:val="0"/>
            <w:vAlign w:val="top"/>
          </w:tcPr>
          <w:p w14:paraId="78FC012C">
            <w:pPr>
              <w:spacing w:line="340" w:lineRule="exact"/>
              <w:rPr>
                <w:rFonts w:hint="eastAsia" w:ascii="宋体" w:hAnsi="宋体" w:cs="宋体"/>
                <w:sz w:val="28"/>
                <w:szCs w:val="24"/>
                <w:highlight w:val="none"/>
              </w:rPr>
            </w:pPr>
            <w:r>
              <w:rPr>
                <w:rFonts w:hint="eastAsia" w:ascii="宋体" w:hAnsi="宋体" w:cs="宋体"/>
                <w:sz w:val="28"/>
                <w:szCs w:val="24"/>
                <w:highlight w:val="none"/>
              </w:rPr>
              <w:t>整体情况</w:t>
            </w:r>
          </w:p>
        </w:tc>
        <w:tc>
          <w:tcPr>
            <w:tcW w:w="900" w:type="dxa"/>
            <w:noWrap w:val="0"/>
            <w:vAlign w:val="top"/>
          </w:tcPr>
          <w:p w14:paraId="31FE4C48">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64E1227F">
            <w:pPr>
              <w:spacing w:line="340" w:lineRule="exact"/>
              <w:rPr>
                <w:rFonts w:hint="eastAsia" w:ascii="宋体" w:hAnsi="宋体" w:cs="宋体"/>
                <w:sz w:val="28"/>
                <w:szCs w:val="24"/>
                <w:highlight w:val="none"/>
              </w:rPr>
            </w:pPr>
          </w:p>
        </w:tc>
        <w:tc>
          <w:tcPr>
            <w:tcW w:w="1161" w:type="dxa"/>
            <w:noWrap w:val="0"/>
            <w:vAlign w:val="top"/>
          </w:tcPr>
          <w:p w14:paraId="38D8B4C3">
            <w:pPr>
              <w:spacing w:line="340" w:lineRule="exact"/>
              <w:rPr>
                <w:rFonts w:hint="eastAsia" w:ascii="宋体" w:hAnsi="宋体" w:cs="宋体"/>
                <w:sz w:val="28"/>
                <w:szCs w:val="24"/>
                <w:highlight w:val="none"/>
              </w:rPr>
            </w:pPr>
          </w:p>
        </w:tc>
        <w:tc>
          <w:tcPr>
            <w:tcW w:w="1111" w:type="dxa"/>
            <w:noWrap w:val="0"/>
            <w:vAlign w:val="top"/>
          </w:tcPr>
          <w:p w14:paraId="1AC53988">
            <w:pPr>
              <w:spacing w:line="340" w:lineRule="exact"/>
              <w:rPr>
                <w:rFonts w:hint="eastAsia" w:ascii="宋体" w:hAnsi="宋体" w:cs="宋体"/>
                <w:sz w:val="28"/>
                <w:szCs w:val="24"/>
                <w:highlight w:val="none"/>
              </w:rPr>
            </w:pPr>
          </w:p>
        </w:tc>
        <w:tc>
          <w:tcPr>
            <w:tcW w:w="1125" w:type="dxa"/>
            <w:noWrap w:val="0"/>
            <w:vAlign w:val="top"/>
          </w:tcPr>
          <w:p w14:paraId="67694FB3">
            <w:pPr>
              <w:spacing w:line="340" w:lineRule="exact"/>
              <w:rPr>
                <w:rFonts w:hint="eastAsia" w:ascii="宋体" w:hAnsi="宋体" w:cs="宋体"/>
                <w:sz w:val="28"/>
                <w:szCs w:val="24"/>
                <w:highlight w:val="none"/>
              </w:rPr>
            </w:pPr>
          </w:p>
        </w:tc>
        <w:tc>
          <w:tcPr>
            <w:tcW w:w="651" w:type="dxa"/>
            <w:noWrap w:val="0"/>
            <w:vAlign w:val="top"/>
          </w:tcPr>
          <w:p w14:paraId="5F398F60">
            <w:pPr>
              <w:spacing w:line="340" w:lineRule="exact"/>
              <w:rPr>
                <w:rFonts w:hint="eastAsia" w:ascii="宋体" w:hAnsi="宋体" w:cs="宋体"/>
                <w:sz w:val="28"/>
                <w:szCs w:val="24"/>
                <w:highlight w:val="none"/>
              </w:rPr>
            </w:pPr>
          </w:p>
        </w:tc>
      </w:tr>
      <w:tr w14:paraId="1E53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64DBCD53">
            <w:pPr>
              <w:spacing w:line="340" w:lineRule="exact"/>
              <w:jc w:val="center"/>
              <w:rPr>
                <w:rFonts w:hint="eastAsia" w:ascii="宋体" w:hAnsi="宋体" w:cs="宋体"/>
                <w:sz w:val="28"/>
                <w:szCs w:val="24"/>
                <w:highlight w:val="none"/>
              </w:rPr>
            </w:pPr>
          </w:p>
        </w:tc>
        <w:tc>
          <w:tcPr>
            <w:tcW w:w="1984" w:type="dxa"/>
            <w:noWrap w:val="0"/>
            <w:vAlign w:val="top"/>
          </w:tcPr>
          <w:p w14:paraId="70937B01">
            <w:pPr>
              <w:spacing w:line="340" w:lineRule="exact"/>
              <w:rPr>
                <w:rFonts w:hint="eastAsia" w:ascii="宋体" w:hAnsi="宋体" w:cs="宋体"/>
                <w:sz w:val="28"/>
                <w:szCs w:val="24"/>
                <w:highlight w:val="none"/>
              </w:rPr>
            </w:pPr>
            <w:r>
              <w:rPr>
                <w:rFonts w:hint="eastAsia" w:ascii="宋体" w:hAnsi="宋体" w:cs="宋体"/>
                <w:sz w:val="28"/>
                <w:szCs w:val="24"/>
                <w:highlight w:val="none"/>
              </w:rPr>
              <w:t>项目经理</w:t>
            </w:r>
          </w:p>
        </w:tc>
        <w:tc>
          <w:tcPr>
            <w:tcW w:w="900" w:type="dxa"/>
            <w:noWrap w:val="0"/>
            <w:vAlign w:val="top"/>
          </w:tcPr>
          <w:p w14:paraId="37DD2049">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36D7A7A7">
            <w:pPr>
              <w:spacing w:line="340" w:lineRule="exact"/>
              <w:rPr>
                <w:rFonts w:hint="eastAsia" w:ascii="宋体" w:hAnsi="宋体" w:cs="宋体"/>
                <w:sz w:val="28"/>
                <w:szCs w:val="24"/>
                <w:highlight w:val="none"/>
              </w:rPr>
            </w:pPr>
          </w:p>
        </w:tc>
        <w:tc>
          <w:tcPr>
            <w:tcW w:w="1161" w:type="dxa"/>
            <w:noWrap w:val="0"/>
            <w:vAlign w:val="top"/>
          </w:tcPr>
          <w:p w14:paraId="42FF3CCC">
            <w:pPr>
              <w:spacing w:line="340" w:lineRule="exact"/>
              <w:rPr>
                <w:rFonts w:hint="eastAsia" w:ascii="宋体" w:hAnsi="宋体" w:cs="宋体"/>
                <w:sz w:val="28"/>
                <w:szCs w:val="24"/>
                <w:highlight w:val="none"/>
              </w:rPr>
            </w:pPr>
          </w:p>
        </w:tc>
        <w:tc>
          <w:tcPr>
            <w:tcW w:w="1111" w:type="dxa"/>
            <w:noWrap w:val="0"/>
            <w:vAlign w:val="top"/>
          </w:tcPr>
          <w:p w14:paraId="184A1490">
            <w:pPr>
              <w:spacing w:line="340" w:lineRule="exact"/>
              <w:rPr>
                <w:rFonts w:hint="eastAsia" w:ascii="宋体" w:hAnsi="宋体" w:cs="宋体"/>
                <w:sz w:val="28"/>
                <w:szCs w:val="24"/>
                <w:highlight w:val="none"/>
              </w:rPr>
            </w:pPr>
          </w:p>
        </w:tc>
        <w:tc>
          <w:tcPr>
            <w:tcW w:w="1125" w:type="dxa"/>
            <w:noWrap w:val="0"/>
            <w:vAlign w:val="top"/>
          </w:tcPr>
          <w:p w14:paraId="3548160C">
            <w:pPr>
              <w:spacing w:line="340" w:lineRule="exact"/>
              <w:rPr>
                <w:rFonts w:hint="eastAsia" w:ascii="宋体" w:hAnsi="宋体" w:cs="宋体"/>
                <w:sz w:val="28"/>
                <w:szCs w:val="24"/>
                <w:highlight w:val="none"/>
              </w:rPr>
            </w:pPr>
          </w:p>
        </w:tc>
        <w:tc>
          <w:tcPr>
            <w:tcW w:w="651" w:type="dxa"/>
            <w:noWrap w:val="0"/>
            <w:vAlign w:val="top"/>
          </w:tcPr>
          <w:p w14:paraId="72A16821">
            <w:pPr>
              <w:spacing w:line="340" w:lineRule="exact"/>
              <w:rPr>
                <w:rFonts w:hint="eastAsia" w:ascii="宋体" w:hAnsi="宋体" w:cs="宋体"/>
                <w:sz w:val="28"/>
                <w:szCs w:val="24"/>
                <w:highlight w:val="none"/>
              </w:rPr>
            </w:pPr>
          </w:p>
        </w:tc>
      </w:tr>
      <w:tr w14:paraId="5EE2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2BF9956C">
            <w:pPr>
              <w:spacing w:line="340" w:lineRule="exact"/>
              <w:jc w:val="center"/>
              <w:rPr>
                <w:rFonts w:hint="eastAsia" w:ascii="宋体" w:hAnsi="宋体" w:cs="宋体"/>
                <w:sz w:val="28"/>
                <w:szCs w:val="24"/>
                <w:highlight w:val="none"/>
              </w:rPr>
            </w:pPr>
          </w:p>
        </w:tc>
        <w:tc>
          <w:tcPr>
            <w:tcW w:w="1984" w:type="dxa"/>
            <w:noWrap w:val="0"/>
            <w:vAlign w:val="top"/>
          </w:tcPr>
          <w:p w14:paraId="1CC90132">
            <w:pPr>
              <w:spacing w:line="340" w:lineRule="exact"/>
              <w:rPr>
                <w:rFonts w:hint="eastAsia" w:ascii="宋体" w:hAnsi="宋体" w:cs="宋体"/>
                <w:sz w:val="28"/>
                <w:szCs w:val="24"/>
                <w:highlight w:val="none"/>
              </w:rPr>
            </w:pPr>
            <w:r>
              <w:rPr>
                <w:rFonts w:hint="eastAsia" w:ascii="宋体" w:hAnsi="宋体" w:cs="宋体"/>
                <w:sz w:val="28"/>
                <w:szCs w:val="24"/>
                <w:highlight w:val="none"/>
              </w:rPr>
              <w:t>项目技术负责人/项目副经理</w:t>
            </w:r>
          </w:p>
        </w:tc>
        <w:tc>
          <w:tcPr>
            <w:tcW w:w="900" w:type="dxa"/>
            <w:noWrap w:val="0"/>
            <w:vAlign w:val="top"/>
          </w:tcPr>
          <w:p w14:paraId="4A1375DF">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0F00C774">
            <w:pPr>
              <w:spacing w:line="340" w:lineRule="exact"/>
              <w:rPr>
                <w:rFonts w:hint="eastAsia" w:ascii="宋体" w:hAnsi="宋体" w:cs="宋体"/>
                <w:sz w:val="28"/>
                <w:szCs w:val="24"/>
                <w:highlight w:val="none"/>
              </w:rPr>
            </w:pPr>
          </w:p>
        </w:tc>
        <w:tc>
          <w:tcPr>
            <w:tcW w:w="1161" w:type="dxa"/>
            <w:noWrap w:val="0"/>
            <w:vAlign w:val="top"/>
          </w:tcPr>
          <w:p w14:paraId="717CD088">
            <w:pPr>
              <w:spacing w:line="340" w:lineRule="exact"/>
              <w:rPr>
                <w:rFonts w:hint="eastAsia" w:ascii="宋体" w:hAnsi="宋体" w:cs="宋体"/>
                <w:sz w:val="28"/>
                <w:szCs w:val="24"/>
                <w:highlight w:val="none"/>
              </w:rPr>
            </w:pPr>
          </w:p>
        </w:tc>
        <w:tc>
          <w:tcPr>
            <w:tcW w:w="1111" w:type="dxa"/>
            <w:noWrap w:val="0"/>
            <w:vAlign w:val="top"/>
          </w:tcPr>
          <w:p w14:paraId="3E719443">
            <w:pPr>
              <w:spacing w:line="340" w:lineRule="exact"/>
              <w:rPr>
                <w:rFonts w:hint="eastAsia" w:ascii="宋体" w:hAnsi="宋体" w:cs="宋体"/>
                <w:sz w:val="28"/>
                <w:szCs w:val="24"/>
                <w:highlight w:val="none"/>
              </w:rPr>
            </w:pPr>
          </w:p>
        </w:tc>
        <w:tc>
          <w:tcPr>
            <w:tcW w:w="1125" w:type="dxa"/>
            <w:noWrap w:val="0"/>
            <w:vAlign w:val="top"/>
          </w:tcPr>
          <w:p w14:paraId="6DC0C262">
            <w:pPr>
              <w:spacing w:line="340" w:lineRule="exact"/>
              <w:rPr>
                <w:rFonts w:hint="eastAsia" w:ascii="宋体" w:hAnsi="宋体" w:cs="宋体"/>
                <w:sz w:val="28"/>
                <w:szCs w:val="24"/>
                <w:highlight w:val="none"/>
              </w:rPr>
            </w:pPr>
          </w:p>
        </w:tc>
        <w:tc>
          <w:tcPr>
            <w:tcW w:w="651" w:type="dxa"/>
            <w:noWrap w:val="0"/>
            <w:vAlign w:val="top"/>
          </w:tcPr>
          <w:p w14:paraId="2E5C7EB4">
            <w:pPr>
              <w:spacing w:line="340" w:lineRule="exact"/>
              <w:rPr>
                <w:rFonts w:hint="eastAsia" w:ascii="宋体" w:hAnsi="宋体" w:cs="宋体"/>
                <w:sz w:val="28"/>
                <w:szCs w:val="24"/>
                <w:highlight w:val="none"/>
              </w:rPr>
            </w:pPr>
          </w:p>
        </w:tc>
      </w:tr>
      <w:tr w14:paraId="286A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0082A69A">
            <w:pPr>
              <w:spacing w:line="340" w:lineRule="exact"/>
              <w:jc w:val="center"/>
              <w:rPr>
                <w:rFonts w:hint="eastAsia" w:ascii="宋体" w:hAnsi="宋体" w:cs="宋体"/>
                <w:sz w:val="28"/>
                <w:szCs w:val="24"/>
                <w:highlight w:val="none"/>
              </w:rPr>
            </w:pPr>
          </w:p>
        </w:tc>
        <w:tc>
          <w:tcPr>
            <w:tcW w:w="1984" w:type="dxa"/>
            <w:noWrap w:val="0"/>
            <w:vAlign w:val="top"/>
          </w:tcPr>
          <w:p w14:paraId="5DFDE866">
            <w:pPr>
              <w:spacing w:line="340" w:lineRule="exact"/>
              <w:rPr>
                <w:rFonts w:hint="eastAsia" w:ascii="宋体" w:hAnsi="宋体" w:cs="宋体"/>
                <w:sz w:val="28"/>
                <w:szCs w:val="24"/>
                <w:highlight w:val="none"/>
              </w:rPr>
            </w:pPr>
            <w:r>
              <w:rPr>
                <w:rFonts w:hint="eastAsia" w:ascii="宋体" w:hAnsi="宋体" w:cs="宋体"/>
                <w:sz w:val="28"/>
                <w:szCs w:val="24"/>
                <w:highlight w:val="none"/>
              </w:rPr>
              <w:t>其他管理人员</w:t>
            </w:r>
          </w:p>
        </w:tc>
        <w:tc>
          <w:tcPr>
            <w:tcW w:w="900" w:type="dxa"/>
            <w:noWrap w:val="0"/>
            <w:vAlign w:val="top"/>
          </w:tcPr>
          <w:p w14:paraId="3B8A7EFC">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5D73BAD7">
            <w:pPr>
              <w:spacing w:line="340" w:lineRule="exact"/>
              <w:rPr>
                <w:rFonts w:hint="eastAsia" w:ascii="宋体" w:hAnsi="宋体" w:cs="宋体"/>
                <w:sz w:val="28"/>
                <w:szCs w:val="24"/>
                <w:highlight w:val="none"/>
              </w:rPr>
            </w:pPr>
          </w:p>
        </w:tc>
        <w:tc>
          <w:tcPr>
            <w:tcW w:w="1161" w:type="dxa"/>
            <w:noWrap w:val="0"/>
            <w:vAlign w:val="top"/>
          </w:tcPr>
          <w:p w14:paraId="14FB7ED3">
            <w:pPr>
              <w:spacing w:line="340" w:lineRule="exact"/>
              <w:rPr>
                <w:rFonts w:hint="eastAsia" w:ascii="宋体" w:hAnsi="宋体" w:cs="宋体"/>
                <w:sz w:val="28"/>
                <w:szCs w:val="24"/>
                <w:highlight w:val="none"/>
              </w:rPr>
            </w:pPr>
          </w:p>
        </w:tc>
        <w:tc>
          <w:tcPr>
            <w:tcW w:w="1111" w:type="dxa"/>
            <w:noWrap w:val="0"/>
            <w:vAlign w:val="top"/>
          </w:tcPr>
          <w:p w14:paraId="3A301CF9">
            <w:pPr>
              <w:spacing w:line="340" w:lineRule="exact"/>
              <w:rPr>
                <w:rFonts w:hint="eastAsia" w:ascii="宋体" w:hAnsi="宋体" w:cs="宋体"/>
                <w:sz w:val="28"/>
                <w:szCs w:val="24"/>
                <w:highlight w:val="none"/>
              </w:rPr>
            </w:pPr>
          </w:p>
        </w:tc>
        <w:tc>
          <w:tcPr>
            <w:tcW w:w="1125" w:type="dxa"/>
            <w:noWrap w:val="0"/>
            <w:vAlign w:val="top"/>
          </w:tcPr>
          <w:p w14:paraId="0E3C91D3">
            <w:pPr>
              <w:spacing w:line="340" w:lineRule="exact"/>
              <w:rPr>
                <w:rFonts w:hint="eastAsia" w:ascii="宋体" w:hAnsi="宋体" w:cs="宋体"/>
                <w:sz w:val="28"/>
                <w:szCs w:val="24"/>
                <w:highlight w:val="none"/>
              </w:rPr>
            </w:pPr>
          </w:p>
        </w:tc>
        <w:tc>
          <w:tcPr>
            <w:tcW w:w="651" w:type="dxa"/>
            <w:noWrap w:val="0"/>
            <w:vAlign w:val="top"/>
          </w:tcPr>
          <w:p w14:paraId="01DA79C3">
            <w:pPr>
              <w:spacing w:line="340" w:lineRule="exact"/>
              <w:rPr>
                <w:rFonts w:hint="eastAsia" w:ascii="宋体" w:hAnsi="宋体" w:cs="宋体"/>
                <w:sz w:val="28"/>
                <w:szCs w:val="24"/>
                <w:highlight w:val="none"/>
              </w:rPr>
            </w:pPr>
          </w:p>
        </w:tc>
      </w:tr>
      <w:tr w14:paraId="6B66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1A7EA1EB">
            <w:pPr>
              <w:spacing w:line="340" w:lineRule="exact"/>
              <w:jc w:val="center"/>
              <w:rPr>
                <w:rFonts w:hint="eastAsia" w:ascii="宋体" w:hAnsi="宋体" w:cs="宋体"/>
                <w:sz w:val="28"/>
                <w:szCs w:val="24"/>
                <w:highlight w:val="none"/>
              </w:rPr>
            </w:pPr>
          </w:p>
        </w:tc>
        <w:tc>
          <w:tcPr>
            <w:tcW w:w="1984" w:type="dxa"/>
            <w:noWrap w:val="0"/>
            <w:vAlign w:val="top"/>
          </w:tcPr>
          <w:p w14:paraId="19A735C6">
            <w:pPr>
              <w:spacing w:line="340" w:lineRule="exact"/>
              <w:rPr>
                <w:rFonts w:hint="eastAsia" w:ascii="宋体" w:hAnsi="宋体" w:cs="宋体"/>
                <w:sz w:val="28"/>
                <w:szCs w:val="24"/>
                <w:highlight w:val="none"/>
              </w:rPr>
            </w:pPr>
            <w:r>
              <w:rPr>
                <w:rFonts w:hint="eastAsia" w:ascii="宋体" w:hAnsi="宋体" w:cs="宋体"/>
                <w:sz w:val="28"/>
                <w:szCs w:val="24"/>
                <w:highlight w:val="none"/>
              </w:rPr>
              <w:t>主要技术工人</w:t>
            </w:r>
          </w:p>
        </w:tc>
        <w:tc>
          <w:tcPr>
            <w:tcW w:w="900" w:type="dxa"/>
            <w:noWrap w:val="0"/>
            <w:vAlign w:val="top"/>
          </w:tcPr>
          <w:p w14:paraId="552BD3FB">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74BCE5A3">
            <w:pPr>
              <w:spacing w:line="340" w:lineRule="exact"/>
              <w:rPr>
                <w:rFonts w:hint="eastAsia" w:ascii="宋体" w:hAnsi="宋体" w:cs="宋体"/>
                <w:sz w:val="28"/>
                <w:szCs w:val="24"/>
                <w:highlight w:val="none"/>
              </w:rPr>
            </w:pPr>
          </w:p>
        </w:tc>
        <w:tc>
          <w:tcPr>
            <w:tcW w:w="1161" w:type="dxa"/>
            <w:noWrap w:val="0"/>
            <w:vAlign w:val="top"/>
          </w:tcPr>
          <w:p w14:paraId="48E18290">
            <w:pPr>
              <w:spacing w:line="340" w:lineRule="exact"/>
              <w:rPr>
                <w:rFonts w:hint="eastAsia" w:ascii="宋体" w:hAnsi="宋体" w:cs="宋体"/>
                <w:sz w:val="28"/>
                <w:szCs w:val="24"/>
                <w:highlight w:val="none"/>
              </w:rPr>
            </w:pPr>
          </w:p>
        </w:tc>
        <w:tc>
          <w:tcPr>
            <w:tcW w:w="1111" w:type="dxa"/>
            <w:noWrap w:val="0"/>
            <w:vAlign w:val="top"/>
          </w:tcPr>
          <w:p w14:paraId="7C27C331">
            <w:pPr>
              <w:spacing w:line="340" w:lineRule="exact"/>
              <w:rPr>
                <w:rFonts w:hint="eastAsia" w:ascii="宋体" w:hAnsi="宋体" w:cs="宋体"/>
                <w:sz w:val="28"/>
                <w:szCs w:val="24"/>
                <w:highlight w:val="none"/>
              </w:rPr>
            </w:pPr>
          </w:p>
        </w:tc>
        <w:tc>
          <w:tcPr>
            <w:tcW w:w="1125" w:type="dxa"/>
            <w:noWrap w:val="0"/>
            <w:vAlign w:val="top"/>
          </w:tcPr>
          <w:p w14:paraId="48D414AD">
            <w:pPr>
              <w:spacing w:line="340" w:lineRule="exact"/>
              <w:rPr>
                <w:rFonts w:hint="eastAsia" w:ascii="宋体" w:hAnsi="宋体" w:cs="宋体"/>
                <w:sz w:val="28"/>
                <w:szCs w:val="24"/>
                <w:highlight w:val="none"/>
              </w:rPr>
            </w:pPr>
          </w:p>
        </w:tc>
        <w:tc>
          <w:tcPr>
            <w:tcW w:w="651" w:type="dxa"/>
            <w:noWrap w:val="0"/>
            <w:vAlign w:val="top"/>
          </w:tcPr>
          <w:p w14:paraId="0539DF43">
            <w:pPr>
              <w:spacing w:line="340" w:lineRule="exact"/>
              <w:rPr>
                <w:rFonts w:hint="eastAsia" w:ascii="宋体" w:hAnsi="宋体" w:cs="宋体"/>
                <w:sz w:val="28"/>
                <w:szCs w:val="24"/>
                <w:highlight w:val="none"/>
              </w:rPr>
            </w:pPr>
          </w:p>
        </w:tc>
      </w:tr>
      <w:tr w14:paraId="34E5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4FAB30D5">
            <w:pPr>
              <w:spacing w:line="340" w:lineRule="exact"/>
              <w:jc w:val="center"/>
              <w:rPr>
                <w:rFonts w:hint="eastAsia" w:ascii="宋体" w:hAnsi="宋体" w:cs="宋体"/>
                <w:sz w:val="28"/>
                <w:szCs w:val="24"/>
                <w:highlight w:val="none"/>
              </w:rPr>
            </w:pPr>
          </w:p>
        </w:tc>
        <w:tc>
          <w:tcPr>
            <w:tcW w:w="1984" w:type="dxa"/>
            <w:noWrap w:val="0"/>
            <w:vAlign w:val="top"/>
          </w:tcPr>
          <w:p w14:paraId="53675FF6">
            <w:pPr>
              <w:spacing w:line="340" w:lineRule="exact"/>
              <w:rPr>
                <w:rFonts w:hint="eastAsia" w:ascii="宋体" w:hAnsi="宋体" w:cs="宋体"/>
                <w:sz w:val="28"/>
                <w:szCs w:val="24"/>
                <w:highlight w:val="none"/>
              </w:rPr>
            </w:pPr>
            <w:r>
              <w:rPr>
                <w:rFonts w:hint="eastAsia" w:ascii="宋体" w:hAnsi="宋体" w:cs="宋体"/>
                <w:sz w:val="28"/>
                <w:szCs w:val="24"/>
                <w:highlight w:val="none"/>
              </w:rPr>
              <w:t>专业分包</w:t>
            </w:r>
          </w:p>
        </w:tc>
        <w:tc>
          <w:tcPr>
            <w:tcW w:w="900" w:type="dxa"/>
            <w:noWrap w:val="0"/>
            <w:vAlign w:val="top"/>
          </w:tcPr>
          <w:p w14:paraId="345D727A">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7D91BFDB">
            <w:pPr>
              <w:spacing w:line="340" w:lineRule="exact"/>
              <w:rPr>
                <w:rFonts w:hint="eastAsia" w:ascii="宋体" w:hAnsi="宋体" w:cs="宋体"/>
                <w:sz w:val="28"/>
                <w:szCs w:val="24"/>
                <w:highlight w:val="none"/>
              </w:rPr>
            </w:pPr>
          </w:p>
        </w:tc>
        <w:tc>
          <w:tcPr>
            <w:tcW w:w="1161" w:type="dxa"/>
            <w:noWrap w:val="0"/>
            <w:vAlign w:val="top"/>
          </w:tcPr>
          <w:p w14:paraId="32237FBB">
            <w:pPr>
              <w:spacing w:line="340" w:lineRule="exact"/>
              <w:rPr>
                <w:rFonts w:hint="eastAsia" w:ascii="宋体" w:hAnsi="宋体" w:cs="宋体"/>
                <w:sz w:val="28"/>
                <w:szCs w:val="24"/>
                <w:highlight w:val="none"/>
              </w:rPr>
            </w:pPr>
          </w:p>
        </w:tc>
        <w:tc>
          <w:tcPr>
            <w:tcW w:w="1111" w:type="dxa"/>
            <w:noWrap w:val="0"/>
            <w:vAlign w:val="top"/>
          </w:tcPr>
          <w:p w14:paraId="043E73BA">
            <w:pPr>
              <w:spacing w:line="340" w:lineRule="exact"/>
              <w:rPr>
                <w:rFonts w:hint="eastAsia" w:ascii="宋体" w:hAnsi="宋体" w:cs="宋体"/>
                <w:sz w:val="28"/>
                <w:szCs w:val="24"/>
                <w:highlight w:val="none"/>
              </w:rPr>
            </w:pPr>
          </w:p>
        </w:tc>
        <w:tc>
          <w:tcPr>
            <w:tcW w:w="1125" w:type="dxa"/>
            <w:noWrap w:val="0"/>
            <w:vAlign w:val="top"/>
          </w:tcPr>
          <w:p w14:paraId="5AE56209">
            <w:pPr>
              <w:spacing w:line="340" w:lineRule="exact"/>
              <w:rPr>
                <w:rFonts w:hint="eastAsia" w:ascii="宋体" w:hAnsi="宋体" w:cs="宋体"/>
                <w:sz w:val="28"/>
                <w:szCs w:val="24"/>
                <w:highlight w:val="none"/>
              </w:rPr>
            </w:pPr>
          </w:p>
        </w:tc>
        <w:tc>
          <w:tcPr>
            <w:tcW w:w="651" w:type="dxa"/>
            <w:noWrap w:val="0"/>
            <w:vAlign w:val="top"/>
          </w:tcPr>
          <w:p w14:paraId="27FFC15E">
            <w:pPr>
              <w:spacing w:line="340" w:lineRule="exact"/>
              <w:rPr>
                <w:rFonts w:hint="eastAsia" w:ascii="宋体" w:hAnsi="宋体" w:cs="宋体"/>
                <w:sz w:val="28"/>
                <w:szCs w:val="24"/>
                <w:highlight w:val="none"/>
              </w:rPr>
            </w:pPr>
          </w:p>
        </w:tc>
      </w:tr>
      <w:tr w14:paraId="6A73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5409A85A">
            <w:pPr>
              <w:spacing w:line="340" w:lineRule="exact"/>
              <w:jc w:val="center"/>
              <w:rPr>
                <w:rFonts w:hint="eastAsia" w:ascii="宋体" w:hAnsi="宋体" w:cs="宋体"/>
                <w:sz w:val="28"/>
                <w:szCs w:val="24"/>
                <w:highlight w:val="none"/>
              </w:rPr>
            </w:pPr>
          </w:p>
        </w:tc>
        <w:tc>
          <w:tcPr>
            <w:tcW w:w="1984" w:type="dxa"/>
            <w:noWrap w:val="0"/>
            <w:vAlign w:val="top"/>
          </w:tcPr>
          <w:p w14:paraId="51B92853">
            <w:pPr>
              <w:spacing w:line="340" w:lineRule="exact"/>
              <w:rPr>
                <w:rFonts w:hint="eastAsia" w:ascii="宋体" w:hAnsi="宋体" w:cs="宋体"/>
                <w:sz w:val="28"/>
                <w:szCs w:val="24"/>
                <w:highlight w:val="none"/>
              </w:rPr>
            </w:pPr>
            <w:r>
              <w:rPr>
                <w:rFonts w:hint="eastAsia" w:ascii="宋体" w:hAnsi="宋体" w:cs="宋体"/>
                <w:sz w:val="28"/>
                <w:szCs w:val="24"/>
                <w:highlight w:val="none"/>
              </w:rPr>
              <w:t>劳务分包</w:t>
            </w:r>
          </w:p>
        </w:tc>
        <w:tc>
          <w:tcPr>
            <w:tcW w:w="900" w:type="dxa"/>
            <w:noWrap w:val="0"/>
            <w:vAlign w:val="top"/>
          </w:tcPr>
          <w:p w14:paraId="2A0FC7FA">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66C3E52E">
            <w:pPr>
              <w:spacing w:line="340" w:lineRule="exact"/>
              <w:rPr>
                <w:rFonts w:hint="eastAsia" w:ascii="宋体" w:hAnsi="宋体" w:cs="宋体"/>
                <w:sz w:val="28"/>
                <w:szCs w:val="24"/>
                <w:highlight w:val="none"/>
              </w:rPr>
            </w:pPr>
          </w:p>
        </w:tc>
        <w:tc>
          <w:tcPr>
            <w:tcW w:w="1161" w:type="dxa"/>
            <w:noWrap w:val="0"/>
            <w:vAlign w:val="top"/>
          </w:tcPr>
          <w:p w14:paraId="4A353B74">
            <w:pPr>
              <w:spacing w:line="340" w:lineRule="exact"/>
              <w:rPr>
                <w:rFonts w:hint="eastAsia" w:ascii="宋体" w:hAnsi="宋体" w:cs="宋体"/>
                <w:sz w:val="28"/>
                <w:szCs w:val="24"/>
                <w:highlight w:val="none"/>
              </w:rPr>
            </w:pPr>
          </w:p>
        </w:tc>
        <w:tc>
          <w:tcPr>
            <w:tcW w:w="1111" w:type="dxa"/>
            <w:noWrap w:val="0"/>
            <w:vAlign w:val="top"/>
          </w:tcPr>
          <w:p w14:paraId="6674DD7B">
            <w:pPr>
              <w:spacing w:line="340" w:lineRule="exact"/>
              <w:rPr>
                <w:rFonts w:hint="eastAsia" w:ascii="宋体" w:hAnsi="宋体" w:cs="宋体"/>
                <w:sz w:val="28"/>
                <w:szCs w:val="24"/>
                <w:highlight w:val="none"/>
              </w:rPr>
            </w:pPr>
          </w:p>
        </w:tc>
        <w:tc>
          <w:tcPr>
            <w:tcW w:w="1125" w:type="dxa"/>
            <w:noWrap w:val="0"/>
            <w:vAlign w:val="top"/>
          </w:tcPr>
          <w:p w14:paraId="4BB6EAC7">
            <w:pPr>
              <w:spacing w:line="340" w:lineRule="exact"/>
              <w:rPr>
                <w:rFonts w:hint="eastAsia" w:ascii="宋体" w:hAnsi="宋体" w:cs="宋体"/>
                <w:sz w:val="28"/>
                <w:szCs w:val="24"/>
                <w:highlight w:val="none"/>
              </w:rPr>
            </w:pPr>
          </w:p>
        </w:tc>
        <w:tc>
          <w:tcPr>
            <w:tcW w:w="651" w:type="dxa"/>
            <w:noWrap w:val="0"/>
            <w:vAlign w:val="top"/>
          </w:tcPr>
          <w:p w14:paraId="70243C3A">
            <w:pPr>
              <w:spacing w:line="340" w:lineRule="exact"/>
              <w:rPr>
                <w:rFonts w:hint="eastAsia" w:ascii="宋体" w:hAnsi="宋体" w:cs="宋体"/>
                <w:sz w:val="28"/>
                <w:szCs w:val="24"/>
                <w:highlight w:val="none"/>
              </w:rPr>
            </w:pPr>
          </w:p>
        </w:tc>
      </w:tr>
      <w:tr w14:paraId="5596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center"/>
          </w:tcPr>
          <w:p w14:paraId="23D363F3">
            <w:pPr>
              <w:spacing w:line="340" w:lineRule="exact"/>
              <w:jc w:val="center"/>
              <w:rPr>
                <w:rFonts w:hint="eastAsia" w:ascii="宋体" w:hAnsi="宋体" w:cs="宋体"/>
                <w:sz w:val="28"/>
                <w:szCs w:val="24"/>
                <w:highlight w:val="none"/>
              </w:rPr>
            </w:pPr>
          </w:p>
        </w:tc>
        <w:tc>
          <w:tcPr>
            <w:tcW w:w="1984" w:type="dxa"/>
            <w:noWrap w:val="0"/>
            <w:vAlign w:val="top"/>
          </w:tcPr>
          <w:p w14:paraId="0B44E975">
            <w:pPr>
              <w:spacing w:line="340" w:lineRule="exact"/>
              <w:rPr>
                <w:rFonts w:hint="eastAsia" w:ascii="宋体" w:hAnsi="宋体" w:cs="宋体"/>
                <w:sz w:val="28"/>
                <w:szCs w:val="24"/>
                <w:highlight w:val="none"/>
              </w:rPr>
            </w:pPr>
            <w:r>
              <w:rPr>
                <w:rFonts w:hint="eastAsia" w:ascii="宋体" w:hAnsi="宋体" w:cs="宋体"/>
                <w:sz w:val="28"/>
                <w:szCs w:val="24"/>
                <w:highlight w:val="none"/>
              </w:rPr>
              <w:t>检测人员及设备</w:t>
            </w:r>
          </w:p>
        </w:tc>
        <w:tc>
          <w:tcPr>
            <w:tcW w:w="900" w:type="dxa"/>
            <w:noWrap w:val="0"/>
            <w:vAlign w:val="top"/>
          </w:tcPr>
          <w:p w14:paraId="27302240">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12C6EE8C">
            <w:pPr>
              <w:spacing w:line="340" w:lineRule="exact"/>
              <w:rPr>
                <w:rFonts w:hint="eastAsia" w:ascii="宋体" w:hAnsi="宋体" w:cs="宋体"/>
                <w:sz w:val="28"/>
                <w:szCs w:val="24"/>
                <w:highlight w:val="none"/>
              </w:rPr>
            </w:pPr>
          </w:p>
        </w:tc>
        <w:tc>
          <w:tcPr>
            <w:tcW w:w="1161" w:type="dxa"/>
            <w:noWrap w:val="0"/>
            <w:vAlign w:val="top"/>
          </w:tcPr>
          <w:p w14:paraId="5BE6A670">
            <w:pPr>
              <w:spacing w:line="340" w:lineRule="exact"/>
              <w:rPr>
                <w:rFonts w:hint="eastAsia" w:ascii="宋体" w:hAnsi="宋体" w:cs="宋体"/>
                <w:sz w:val="28"/>
                <w:szCs w:val="24"/>
                <w:highlight w:val="none"/>
              </w:rPr>
            </w:pPr>
          </w:p>
        </w:tc>
        <w:tc>
          <w:tcPr>
            <w:tcW w:w="1111" w:type="dxa"/>
            <w:noWrap w:val="0"/>
            <w:vAlign w:val="top"/>
          </w:tcPr>
          <w:p w14:paraId="2B7C2015">
            <w:pPr>
              <w:spacing w:line="340" w:lineRule="exact"/>
              <w:rPr>
                <w:rFonts w:hint="eastAsia" w:ascii="宋体" w:hAnsi="宋体" w:cs="宋体"/>
                <w:sz w:val="28"/>
                <w:szCs w:val="24"/>
                <w:highlight w:val="none"/>
              </w:rPr>
            </w:pPr>
          </w:p>
        </w:tc>
        <w:tc>
          <w:tcPr>
            <w:tcW w:w="1125" w:type="dxa"/>
            <w:noWrap w:val="0"/>
            <w:vAlign w:val="top"/>
          </w:tcPr>
          <w:p w14:paraId="302C2F26">
            <w:pPr>
              <w:spacing w:line="340" w:lineRule="exact"/>
              <w:rPr>
                <w:rFonts w:hint="eastAsia" w:ascii="宋体" w:hAnsi="宋体" w:cs="宋体"/>
                <w:sz w:val="28"/>
                <w:szCs w:val="24"/>
                <w:highlight w:val="none"/>
              </w:rPr>
            </w:pPr>
          </w:p>
        </w:tc>
        <w:tc>
          <w:tcPr>
            <w:tcW w:w="651" w:type="dxa"/>
            <w:noWrap w:val="0"/>
            <w:vAlign w:val="top"/>
          </w:tcPr>
          <w:p w14:paraId="4D825447">
            <w:pPr>
              <w:spacing w:line="340" w:lineRule="exact"/>
              <w:rPr>
                <w:rFonts w:hint="eastAsia" w:ascii="宋体" w:hAnsi="宋体" w:cs="宋体"/>
                <w:sz w:val="28"/>
                <w:szCs w:val="24"/>
                <w:highlight w:val="none"/>
              </w:rPr>
            </w:pPr>
          </w:p>
        </w:tc>
      </w:tr>
      <w:tr w14:paraId="03E0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restart"/>
            <w:noWrap w:val="0"/>
            <w:vAlign w:val="center"/>
          </w:tcPr>
          <w:p w14:paraId="5F527075">
            <w:pPr>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在建工程（20分）</w:t>
            </w:r>
          </w:p>
        </w:tc>
        <w:tc>
          <w:tcPr>
            <w:tcW w:w="1984" w:type="dxa"/>
            <w:noWrap w:val="0"/>
            <w:vAlign w:val="top"/>
          </w:tcPr>
          <w:p w14:paraId="256342D6">
            <w:pPr>
              <w:spacing w:line="340" w:lineRule="exact"/>
              <w:rPr>
                <w:rFonts w:hint="eastAsia" w:ascii="宋体" w:hAnsi="宋体" w:cs="宋体"/>
                <w:sz w:val="28"/>
                <w:szCs w:val="24"/>
                <w:highlight w:val="none"/>
              </w:rPr>
            </w:pPr>
            <w:r>
              <w:rPr>
                <w:rFonts w:hint="eastAsia" w:ascii="宋体" w:hAnsi="宋体" w:cs="宋体"/>
                <w:sz w:val="28"/>
                <w:szCs w:val="24"/>
                <w:highlight w:val="none"/>
              </w:rPr>
              <w:t>现场安全标化</w:t>
            </w:r>
          </w:p>
        </w:tc>
        <w:tc>
          <w:tcPr>
            <w:tcW w:w="900" w:type="dxa"/>
            <w:noWrap w:val="0"/>
            <w:vAlign w:val="top"/>
          </w:tcPr>
          <w:p w14:paraId="1EA6B033">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56018E36">
            <w:pPr>
              <w:spacing w:line="340" w:lineRule="exact"/>
              <w:rPr>
                <w:rFonts w:hint="eastAsia" w:ascii="宋体" w:hAnsi="宋体" w:cs="宋体"/>
                <w:sz w:val="28"/>
                <w:szCs w:val="24"/>
                <w:highlight w:val="none"/>
              </w:rPr>
            </w:pPr>
          </w:p>
        </w:tc>
        <w:tc>
          <w:tcPr>
            <w:tcW w:w="1161" w:type="dxa"/>
            <w:noWrap w:val="0"/>
            <w:vAlign w:val="top"/>
          </w:tcPr>
          <w:p w14:paraId="7393C81E">
            <w:pPr>
              <w:spacing w:line="340" w:lineRule="exact"/>
              <w:rPr>
                <w:rFonts w:hint="eastAsia" w:ascii="宋体" w:hAnsi="宋体" w:cs="宋体"/>
                <w:sz w:val="28"/>
                <w:szCs w:val="24"/>
                <w:highlight w:val="none"/>
              </w:rPr>
            </w:pPr>
          </w:p>
        </w:tc>
        <w:tc>
          <w:tcPr>
            <w:tcW w:w="1111" w:type="dxa"/>
            <w:noWrap w:val="0"/>
            <w:vAlign w:val="top"/>
          </w:tcPr>
          <w:p w14:paraId="5339040A">
            <w:pPr>
              <w:spacing w:line="340" w:lineRule="exact"/>
              <w:rPr>
                <w:rFonts w:hint="eastAsia" w:ascii="宋体" w:hAnsi="宋体" w:cs="宋体"/>
                <w:sz w:val="28"/>
                <w:szCs w:val="24"/>
                <w:highlight w:val="none"/>
              </w:rPr>
            </w:pPr>
          </w:p>
        </w:tc>
        <w:tc>
          <w:tcPr>
            <w:tcW w:w="1125" w:type="dxa"/>
            <w:noWrap w:val="0"/>
            <w:vAlign w:val="top"/>
          </w:tcPr>
          <w:p w14:paraId="4519051C">
            <w:pPr>
              <w:spacing w:line="340" w:lineRule="exact"/>
              <w:rPr>
                <w:rFonts w:hint="eastAsia" w:ascii="宋体" w:hAnsi="宋体" w:cs="宋体"/>
                <w:sz w:val="28"/>
                <w:szCs w:val="24"/>
                <w:highlight w:val="none"/>
              </w:rPr>
            </w:pPr>
          </w:p>
        </w:tc>
        <w:tc>
          <w:tcPr>
            <w:tcW w:w="651" w:type="dxa"/>
            <w:noWrap w:val="0"/>
            <w:vAlign w:val="top"/>
          </w:tcPr>
          <w:p w14:paraId="07E0ECBA">
            <w:pPr>
              <w:spacing w:line="340" w:lineRule="exact"/>
              <w:rPr>
                <w:rFonts w:hint="eastAsia" w:ascii="宋体" w:hAnsi="宋体" w:cs="宋体"/>
                <w:sz w:val="28"/>
                <w:szCs w:val="24"/>
                <w:highlight w:val="none"/>
              </w:rPr>
            </w:pPr>
          </w:p>
        </w:tc>
      </w:tr>
      <w:tr w14:paraId="4BD3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top"/>
          </w:tcPr>
          <w:p w14:paraId="26DD2ADF">
            <w:pPr>
              <w:spacing w:line="340" w:lineRule="exact"/>
              <w:rPr>
                <w:rFonts w:hint="eastAsia" w:ascii="宋体" w:hAnsi="宋体" w:cs="宋体"/>
                <w:sz w:val="28"/>
                <w:szCs w:val="24"/>
                <w:highlight w:val="none"/>
              </w:rPr>
            </w:pPr>
          </w:p>
        </w:tc>
        <w:tc>
          <w:tcPr>
            <w:tcW w:w="1984" w:type="dxa"/>
            <w:noWrap w:val="0"/>
            <w:vAlign w:val="top"/>
          </w:tcPr>
          <w:p w14:paraId="7166DC7B">
            <w:pPr>
              <w:spacing w:line="340" w:lineRule="exact"/>
              <w:rPr>
                <w:rFonts w:hint="eastAsia" w:ascii="宋体" w:hAnsi="宋体" w:cs="宋体"/>
                <w:sz w:val="28"/>
                <w:szCs w:val="24"/>
                <w:highlight w:val="none"/>
              </w:rPr>
            </w:pPr>
            <w:r>
              <w:rPr>
                <w:rFonts w:hint="eastAsia" w:ascii="宋体" w:hAnsi="宋体" w:cs="宋体"/>
                <w:sz w:val="28"/>
                <w:szCs w:val="24"/>
                <w:highlight w:val="none"/>
              </w:rPr>
              <w:t>土建质量</w:t>
            </w:r>
          </w:p>
        </w:tc>
        <w:tc>
          <w:tcPr>
            <w:tcW w:w="900" w:type="dxa"/>
            <w:noWrap w:val="0"/>
            <w:vAlign w:val="top"/>
          </w:tcPr>
          <w:p w14:paraId="6C68A897">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38E859C4">
            <w:pPr>
              <w:spacing w:line="340" w:lineRule="exact"/>
              <w:rPr>
                <w:rFonts w:hint="eastAsia" w:ascii="宋体" w:hAnsi="宋体" w:cs="宋体"/>
                <w:sz w:val="28"/>
                <w:szCs w:val="24"/>
                <w:highlight w:val="none"/>
              </w:rPr>
            </w:pPr>
          </w:p>
        </w:tc>
        <w:tc>
          <w:tcPr>
            <w:tcW w:w="1161" w:type="dxa"/>
            <w:noWrap w:val="0"/>
            <w:vAlign w:val="top"/>
          </w:tcPr>
          <w:p w14:paraId="5F9650FB">
            <w:pPr>
              <w:spacing w:line="340" w:lineRule="exact"/>
              <w:rPr>
                <w:rFonts w:hint="eastAsia" w:ascii="宋体" w:hAnsi="宋体" w:cs="宋体"/>
                <w:sz w:val="28"/>
                <w:szCs w:val="24"/>
                <w:highlight w:val="none"/>
              </w:rPr>
            </w:pPr>
          </w:p>
        </w:tc>
        <w:tc>
          <w:tcPr>
            <w:tcW w:w="1111" w:type="dxa"/>
            <w:noWrap w:val="0"/>
            <w:vAlign w:val="top"/>
          </w:tcPr>
          <w:p w14:paraId="07299D86">
            <w:pPr>
              <w:spacing w:line="340" w:lineRule="exact"/>
              <w:rPr>
                <w:rFonts w:hint="eastAsia" w:ascii="宋体" w:hAnsi="宋体" w:cs="宋体"/>
                <w:sz w:val="28"/>
                <w:szCs w:val="24"/>
                <w:highlight w:val="none"/>
              </w:rPr>
            </w:pPr>
          </w:p>
        </w:tc>
        <w:tc>
          <w:tcPr>
            <w:tcW w:w="1125" w:type="dxa"/>
            <w:noWrap w:val="0"/>
            <w:vAlign w:val="top"/>
          </w:tcPr>
          <w:p w14:paraId="5BF860C0">
            <w:pPr>
              <w:spacing w:line="340" w:lineRule="exact"/>
              <w:rPr>
                <w:rFonts w:hint="eastAsia" w:ascii="宋体" w:hAnsi="宋体" w:cs="宋体"/>
                <w:sz w:val="28"/>
                <w:szCs w:val="24"/>
                <w:highlight w:val="none"/>
              </w:rPr>
            </w:pPr>
          </w:p>
        </w:tc>
        <w:tc>
          <w:tcPr>
            <w:tcW w:w="651" w:type="dxa"/>
            <w:noWrap w:val="0"/>
            <w:vAlign w:val="top"/>
          </w:tcPr>
          <w:p w14:paraId="3D02C610">
            <w:pPr>
              <w:spacing w:line="340" w:lineRule="exact"/>
              <w:rPr>
                <w:rFonts w:hint="eastAsia" w:ascii="宋体" w:hAnsi="宋体" w:cs="宋体"/>
                <w:sz w:val="28"/>
                <w:szCs w:val="24"/>
                <w:highlight w:val="none"/>
              </w:rPr>
            </w:pPr>
          </w:p>
        </w:tc>
      </w:tr>
      <w:tr w14:paraId="7FFC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top"/>
          </w:tcPr>
          <w:p w14:paraId="39A5AC39">
            <w:pPr>
              <w:spacing w:line="340" w:lineRule="exact"/>
              <w:rPr>
                <w:rFonts w:hint="eastAsia" w:ascii="宋体" w:hAnsi="宋体" w:cs="宋体"/>
                <w:sz w:val="28"/>
                <w:szCs w:val="24"/>
                <w:highlight w:val="none"/>
              </w:rPr>
            </w:pPr>
          </w:p>
        </w:tc>
        <w:tc>
          <w:tcPr>
            <w:tcW w:w="1984" w:type="dxa"/>
            <w:noWrap w:val="0"/>
            <w:vAlign w:val="top"/>
          </w:tcPr>
          <w:p w14:paraId="6263B982">
            <w:pPr>
              <w:spacing w:line="340" w:lineRule="exact"/>
              <w:rPr>
                <w:rFonts w:hint="eastAsia" w:ascii="宋体" w:hAnsi="宋体" w:cs="宋体"/>
                <w:sz w:val="28"/>
                <w:szCs w:val="24"/>
                <w:highlight w:val="none"/>
              </w:rPr>
            </w:pPr>
            <w:r>
              <w:rPr>
                <w:rFonts w:hint="eastAsia" w:ascii="宋体" w:hAnsi="宋体" w:cs="宋体"/>
                <w:sz w:val="28"/>
                <w:szCs w:val="24"/>
                <w:highlight w:val="none"/>
              </w:rPr>
              <w:t>安装质量</w:t>
            </w:r>
          </w:p>
        </w:tc>
        <w:tc>
          <w:tcPr>
            <w:tcW w:w="900" w:type="dxa"/>
            <w:noWrap w:val="0"/>
            <w:vAlign w:val="top"/>
          </w:tcPr>
          <w:p w14:paraId="38F52063">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79D2E464">
            <w:pPr>
              <w:spacing w:line="340" w:lineRule="exact"/>
              <w:rPr>
                <w:rFonts w:hint="eastAsia" w:ascii="宋体" w:hAnsi="宋体" w:cs="宋体"/>
                <w:sz w:val="28"/>
                <w:szCs w:val="24"/>
                <w:highlight w:val="none"/>
              </w:rPr>
            </w:pPr>
          </w:p>
        </w:tc>
        <w:tc>
          <w:tcPr>
            <w:tcW w:w="1161" w:type="dxa"/>
            <w:noWrap w:val="0"/>
            <w:vAlign w:val="top"/>
          </w:tcPr>
          <w:p w14:paraId="5070D196">
            <w:pPr>
              <w:spacing w:line="340" w:lineRule="exact"/>
              <w:rPr>
                <w:rFonts w:hint="eastAsia" w:ascii="宋体" w:hAnsi="宋体" w:cs="宋体"/>
                <w:sz w:val="28"/>
                <w:szCs w:val="24"/>
                <w:highlight w:val="none"/>
              </w:rPr>
            </w:pPr>
          </w:p>
        </w:tc>
        <w:tc>
          <w:tcPr>
            <w:tcW w:w="1111" w:type="dxa"/>
            <w:noWrap w:val="0"/>
            <w:vAlign w:val="top"/>
          </w:tcPr>
          <w:p w14:paraId="01271C31">
            <w:pPr>
              <w:spacing w:line="340" w:lineRule="exact"/>
              <w:rPr>
                <w:rFonts w:hint="eastAsia" w:ascii="宋体" w:hAnsi="宋体" w:cs="宋体"/>
                <w:sz w:val="28"/>
                <w:szCs w:val="24"/>
                <w:highlight w:val="none"/>
              </w:rPr>
            </w:pPr>
          </w:p>
        </w:tc>
        <w:tc>
          <w:tcPr>
            <w:tcW w:w="1125" w:type="dxa"/>
            <w:noWrap w:val="0"/>
            <w:vAlign w:val="top"/>
          </w:tcPr>
          <w:p w14:paraId="4E68C66B">
            <w:pPr>
              <w:spacing w:line="340" w:lineRule="exact"/>
              <w:rPr>
                <w:rFonts w:hint="eastAsia" w:ascii="宋体" w:hAnsi="宋体" w:cs="宋体"/>
                <w:sz w:val="28"/>
                <w:szCs w:val="24"/>
                <w:highlight w:val="none"/>
              </w:rPr>
            </w:pPr>
          </w:p>
        </w:tc>
        <w:tc>
          <w:tcPr>
            <w:tcW w:w="651" w:type="dxa"/>
            <w:noWrap w:val="0"/>
            <w:vAlign w:val="top"/>
          </w:tcPr>
          <w:p w14:paraId="085284B2">
            <w:pPr>
              <w:spacing w:line="340" w:lineRule="exact"/>
              <w:rPr>
                <w:rFonts w:hint="eastAsia" w:ascii="宋体" w:hAnsi="宋体" w:cs="宋体"/>
                <w:sz w:val="28"/>
                <w:szCs w:val="24"/>
                <w:highlight w:val="none"/>
              </w:rPr>
            </w:pPr>
          </w:p>
        </w:tc>
      </w:tr>
      <w:tr w14:paraId="069E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top"/>
          </w:tcPr>
          <w:p w14:paraId="63C5D098">
            <w:pPr>
              <w:spacing w:line="340" w:lineRule="exact"/>
              <w:rPr>
                <w:rFonts w:hint="eastAsia" w:ascii="宋体" w:hAnsi="宋体" w:cs="宋体"/>
                <w:sz w:val="28"/>
                <w:szCs w:val="24"/>
                <w:highlight w:val="none"/>
              </w:rPr>
            </w:pPr>
          </w:p>
        </w:tc>
        <w:tc>
          <w:tcPr>
            <w:tcW w:w="1984" w:type="dxa"/>
            <w:noWrap w:val="0"/>
            <w:vAlign w:val="top"/>
          </w:tcPr>
          <w:p w14:paraId="73A25E70">
            <w:pPr>
              <w:spacing w:line="340" w:lineRule="exact"/>
              <w:rPr>
                <w:rFonts w:hint="eastAsia" w:ascii="宋体" w:hAnsi="宋体" w:cs="宋体"/>
                <w:sz w:val="28"/>
                <w:szCs w:val="24"/>
                <w:highlight w:val="none"/>
              </w:rPr>
            </w:pPr>
            <w:r>
              <w:rPr>
                <w:rFonts w:hint="eastAsia" w:ascii="宋体" w:hAnsi="宋体" w:cs="宋体"/>
                <w:sz w:val="28"/>
                <w:szCs w:val="24"/>
                <w:highlight w:val="none"/>
              </w:rPr>
              <w:t>工程资料</w:t>
            </w:r>
          </w:p>
        </w:tc>
        <w:tc>
          <w:tcPr>
            <w:tcW w:w="900" w:type="dxa"/>
            <w:noWrap w:val="0"/>
            <w:vAlign w:val="top"/>
          </w:tcPr>
          <w:p w14:paraId="7340BCFF">
            <w:pPr>
              <w:spacing w:line="340" w:lineRule="exact"/>
              <w:rPr>
                <w:rFonts w:hint="eastAsia" w:ascii="宋体" w:hAnsi="宋体" w:cs="宋体"/>
                <w:sz w:val="28"/>
                <w:szCs w:val="24"/>
                <w:highlight w:val="none"/>
              </w:rPr>
            </w:pPr>
            <w:r>
              <w:rPr>
                <w:rFonts w:hint="eastAsia" w:ascii="宋体" w:hAnsi="宋体" w:cs="宋体"/>
                <w:sz w:val="28"/>
                <w:szCs w:val="24"/>
                <w:highlight w:val="none"/>
              </w:rPr>
              <w:t>5分</w:t>
            </w:r>
          </w:p>
        </w:tc>
        <w:tc>
          <w:tcPr>
            <w:tcW w:w="1033" w:type="dxa"/>
            <w:noWrap w:val="0"/>
            <w:vAlign w:val="top"/>
          </w:tcPr>
          <w:p w14:paraId="54803369">
            <w:pPr>
              <w:spacing w:line="340" w:lineRule="exact"/>
              <w:rPr>
                <w:rFonts w:hint="eastAsia" w:ascii="宋体" w:hAnsi="宋体" w:cs="宋体"/>
                <w:sz w:val="28"/>
                <w:szCs w:val="24"/>
                <w:highlight w:val="none"/>
              </w:rPr>
            </w:pPr>
          </w:p>
        </w:tc>
        <w:tc>
          <w:tcPr>
            <w:tcW w:w="1161" w:type="dxa"/>
            <w:noWrap w:val="0"/>
            <w:vAlign w:val="top"/>
          </w:tcPr>
          <w:p w14:paraId="465D2B8A">
            <w:pPr>
              <w:spacing w:line="340" w:lineRule="exact"/>
              <w:rPr>
                <w:rFonts w:hint="eastAsia" w:ascii="宋体" w:hAnsi="宋体" w:cs="宋体"/>
                <w:sz w:val="28"/>
                <w:szCs w:val="24"/>
                <w:highlight w:val="none"/>
              </w:rPr>
            </w:pPr>
          </w:p>
        </w:tc>
        <w:tc>
          <w:tcPr>
            <w:tcW w:w="1111" w:type="dxa"/>
            <w:noWrap w:val="0"/>
            <w:vAlign w:val="top"/>
          </w:tcPr>
          <w:p w14:paraId="0A98AAE0">
            <w:pPr>
              <w:spacing w:line="340" w:lineRule="exact"/>
              <w:rPr>
                <w:rFonts w:hint="eastAsia" w:ascii="宋体" w:hAnsi="宋体" w:cs="宋体"/>
                <w:sz w:val="28"/>
                <w:szCs w:val="24"/>
                <w:highlight w:val="none"/>
              </w:rPr>
            </w:pPr>
          </w:p>
        </w:tc>
        <w:tc>
          <w:tcPr>
            <w:tcW w:w="1125" w:type="dxa"/>
            <w:noWrap w:val="0"/>
            <w:vAlign w:val="top"/>
          </w:tcPr>
          <w:p w14:paraId="3D6B219D">
            <w:pPr>
              <w:spacing w:line="340" w:lineRule="exact"/>
              <w:rPr>
                <w:rFonts w:hint="eastAsia" w:ascii="宋体" w:hAnsi="宋体" w:cs="宋体"/>
                <w:sz w:val="28"/>
                <w:szCs w:val="24"/>
                <w:highlight w:val="none"/>
              </w:rPr>
            </w:pPr>
          </w:p>
        </w:tc>
        <w:tc>
          <w:tcPr>
            <w:tcW w:w="651" w:type="dxa"/>
            <w:noWrap w:val="0"/>
            <w:vAlign w:val="top"/>
          </w:tcPr>
          <w:p w14:paraId="354E6D33">
            <w:pPr>
              <w:spacing w:line="340" w:lineRule="exact"/>
              <w:rPr>
                <w:rFonts w:hint="eastAsia" w:ascii="宋体" w:hAnsi="宋体" w:cs="宋体"/>
                <w:sz w:val="28"/>
                <w:szCs w:val="24"/>
                <w:highlight w:val="none"/>
              </w:rPr>
            </w:pPr>
          </w:p>
        </w:tc>
      </w:tr>
      <w:tr w14:paraId="76D9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restart"/>
            <w:noWrap w:val="0"/>
            <w:vAlign w:val="top"/>
          </w:tcPr>
          <w:p w14:paraId="7B4FFBEB">
            <w:pPr>
              <w:spacing w:line="340" w:lineRule="exact"/>
              <w:rPr>
                <w:rFonts w:hint="eastAsia" w:ascii="宋体" w:hAnsi="宋体" w:cs="宋体"/>
                <w:sz w:val="28"/>
                <w:szCs w:val="24"/>
                <w:highlight w:val="none"/>
              </w:rPr>
            </w:pPr>
            <w:r>
              <w:rPr>
                <w:rFonts w:hint="eastAsia" w:ascii="宋体" w:hAnsi="宋体" w:cs="宋体"/>
                <w:sz w:val="28"/>
                <w:szCs w:val="24"/>
                <w:highlight w:val="none"/>
              </w:rPr>
              <w:t>已竣工工程（20分）</w:t>
            </w:r>
          </w:p>
        </w:tc>
        <w:tc>
          <w:tcPr>
            <w:tcW w:w="1984" w:type="dxa"/>
            <w:noWrap w:val="0"/>
            <w:vAlign w:val="top"/>
          </w:tcPr>
          <w:p w14:paraId="6DC61B86">
            <w:pPr>
              <w:spacing w:line="340" w:lineRule="exact"/>
              <w:rPr>
                <w:rFonts w:hint="eastAsia" w:ascii="宋体" w:hAnsi="宋体" w:cs="宋体"/>
                <w:sz w:val="28"/>
                <w:szCs w:val="24"/>
                <w:highlight w:val="none"/>
              </w:rPr>
            </w:pPr>
            <w:r>
              <w:rPr>
                <w:rFonts w:hint="eastAsia" w:ascii="宋体" w:hAnsi="宋体" w:cs="宋体"/>
                <w:sz w:val="28"/>
                <w:szCs w:val="24"/>
                <w:highlight w:val="none"/>
              </w:rPr>
              <w:t>外部观感</w:t>
            </w:r>
          </w:p>
        </w:tc>
        <w:tc>
          <w:tcPr>
            <w:tcW w:w="900" w:type="dxa"/>
            <w:noWrap w:val="0"/>
            <w:vAlign w:val="top"/>
          </w:tcPr>
          <w:p w14:paraId="7F66D64C">
            <w:pPr>
              <w:spacing w:line="340" w:lineRule="exact"/>
              <w:rPr>
                <w:rFonts w:hint="eastAsia" w:ascii="宋体" w:hAnsi="宋体" w:cs="宋体"/>
                <w:sz w:val="28"/>
                <w:szCs w:val="24"/>
                <w:highlight w:val="none"/>
              </w:rPr>
            </w:pPr>
            <w:r>
              <w:rPr>
                <w:rFonts w:hint="eastAsia" w:ascii="宋体" w:hAnsi="宋体" w:cs="宋体"/>
                <w:sz w:val="28"/>
                <w:szCs w:val="24"/>
                <w:highlight w:val="none"/>
                <w:lang w:val="en-US" w:eastAsia="zh-CN"/>
              </w:rPr>
              <w:t>6</w:t>
            </w:r>
            <w:r>
              <w:rPr>
                <w:rFonts w:hint="eastAsia" w:ascii="宋体" w:hAnsi="宋体" w:cs="宋体"/>
                <w:sz w:val="28"/>
                <w:szCs w:val="24"/>
                <w:highlight w:val="none"/>
              </w:rPr>
              <w:t>分</w:t>
            </w:r>
          </w:p>
        </w:tc>
        <w:tc>
          <w:tcPr>
            <w:tcW w:w="1033" w:type="dxa"/>
            <w:noWrap w:val="0"/>
            <w:vAlign w:val="top"/>
          </w:tcPr>
          <w:p w14:paraId="6A3997D1">
            <w:pPr>
              <w:spacing w:line="340" w:lineRule="exact"/>
              <w:rPr>
                <w:rFonts w:hint="eastAsia" w:ascii="宋体" w:hAnsi="宋体" w:cs="宋体"/>
                <w:sz w:val="28"/>
                <w:szCs w:val="24"/>
                <w:highlight w:val="none"/>
              </w:rPr>
            </w:pPr>
          </w:p>
        </w:tc>
        <w:tc>
          <w:tcPr>
            <w:tcW w:w="1161" w:type="dxa"/>
            <w:noWrap w:val="0"/>
            <w:vAlign w:val="top"/>
          </w:tcPr>
          <w:p w14:paraId="11A79829">
            <w:pPr>
              <w:spacing w:line="340" w:lineRule="exact"/>
              <w:rPr>
                <w:rFonts w:hint="eastAsia" w:ascii="宋体" w:hAnsi="宋体" w:cs="宋体"/>
                <w:sz w:val="28"/>
                <w:szCs w:val="24"/>
                <w:highlight w:val="none"/>
              </w:rPr>
            </w:pPr>
          </w:p>
        </w:tc>
        <w:tc>
          <w:tcPr>
            <w:tcW w:w="1111" w:type="dxa"/>
            <w:noWrap w:val="0"/>
            <w:vAlign w:val="top"/>
          </w:tcPr>
          <w:p w14:paraId="2AE6B708">
            <w:pPr>
              <w:spacing w:line="340" w:lineRule="exact"/>
              <w:rPr>
                <w:rFonts w:hint="eastAsia" w:ascii="宋体" w:hAnsi="宋体" w:cs="宋体"/>
                <w:sz w:val="28"/>
                <w:szCs w:val="24"/>
                <w:highlight w:val="none"/>
              </w:rPr>
            </w:pPr>
          </w:p>
        </w:tc>
        <w:tc>
          <w:tcPr>
            <w:tcW w:w="1125" w:type="dxa"/>
            <w:noWrap w:val="0"/>
            <w:vAlign w:val="top"/>
          </w:tcPr>
          <w:p w14:paraId="2030D69D">
            <w:pPr>
              <w:spacing w:line="340" w:lineRule="exact"/>
              <w:rPr>
                <w:rFonts w:hint="eastAsia" w:ascii="宋体" w:hAnsi="宋体" w:cs="宋体"/>
                <w:sz w:val="28"/>
                <w:szCs w:val="24"/>
                <w:highlight w:val="none"/>
              </w:rPr>
            </w:pPr>
          </w:p>
        </w:tc>
        <w:tc>
          <w:tcPr>
            <w:tcW w:w="651" w:type="dxa"/>
            <w:noWrap w:val="0"/>
            <w:vAlign w:val="top"/>
          </w:tcPr>
          <w:p w14:paraId="267BE603">
            <w:pPr>
              <w:spacing w:line="340" w:lineRule="exact"/>
              <w:rPr>
                <w:rFonts w:hint="eastAsia" w:ascii="宋体" w:hAnsi="宋体" w:cs="宋体"/>
                <w:sz w:val="28"/>
                <w:szCs w:val="24"/>
                <w:highlight w:val="none"/>
              </w:rPr>
            </w:pPr>
          </w:p>
        </w:tc>
      </w:tr>
      <w:tr w14:paraId="0836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top"/>
          </w:tcPr>
          <w:p w14:paraId="41BE355F">
            <w:pPr>
              <w:spacing w:line="340" w:lineRule="exact"/>
              <w:rPr>
                <w:rFonts w:hint="eastAsia" w:ascii="宋体" w:hAnsi="宋体" w:cs="宋体"/>
                <w:sz w:val="28"/>
                <w:szCs w:val="24"/>
                <w:highlight w:val="none"/>
              </w:rPr>
            </w:pPr>
          </w:p>
        </w:tc>
        <w:tc>
          <w:tcPr>
            <w:tcW w:w="1984" w:type="dxa"/>
            <w:noWrap w:val="0"/>
            <w:vAlign w:val="top"/>
          </w:tcPr>
          <w:p w14:paraId="0430F696">
            <w:pPr>
              <w:spacing w:line="340" w:lineRule="exact"/>
              <w:rPr>
                <w:rFonts w:hint="eastAsia" w:ascii="宋体" w:hAnsi="宋体" w:cs="宋体"/>
                <w:sz w:val="28"/>
                <w:szCs w:val="24"/>
                <w:highlight w:val="none"/>
              </w:rPr>
            </w:pPr>
            <w:r>
              <w:rPr>
                <w:rFonts w:hint="eastAsia" w:ascii="宋体" w:hAnsi="宋体" w:cs="宋体"/>
                <w:sz w:val="28"/>
                <w:szCs w:val="24"/>
                <w:highlight w:val="none"/>
              </w:rPr>
              <w:t>内部观感</w:t>
            </w:r>
          </w:p>
        </w:tc>
        <w:tc>
          <w:tcPr>
            <w:tcW w:w="900" w:type="dxa"/>
            <w:noWrap w:val="0"/>
            <w:vAlign w:val="top"/>
          </w:tcPr>
          <w:p w14:paraId="6200D3FA">
            <w:pPr>
              <w:spacing w:line="340" w:lineRule="exact"/>
              <w:rPr>
                <w:rFonts w:hint="eastAsia" w:ascii="宋体" w:hAnsi="宋体" w:cs="宋体"/>
                <w:sz w:val="28"/>
                <w:szCs w:val="24"/>
                <w:highlight w:val="none"/>
              </w:rPr>
            </w:pPr>
            <w:r>
              <w:rPr>
                <w:rFonts w:hint="eastAsia" w:ascii="宋体" w:hAnsi="宋体" w:cs="宋体"/>
                <w:sz w:val="28"/>
                <w:szCs w:val="24"/>
                <w:highlight w:val="none"/>
                <w:lang w:val="en-US" w:eastAsia="zh-CN"/>
              </w:rPr>
              <w:t>6</w:t>
            </w:r>
            <w:r>
              <w:rPr>
                <w:rFonts w:hint="eastAsia" w:ascii="宋体" w:hAnsi="宋体" w:cs="宋体"/>
                <w:sz w:val="28"/>
                <w:szCs w:val="24"/>
                <w:highlight w:val="none"/>
              </w:rPr>
              <w:t>分</w:t>
            </w:r>
          </w:p>
        </w:tc>
        <w:tc>
          <w:tcPr>
            <w:tcW w:w="1033" w:type="dxa"/>
            <w:noWrap w:val="0"/>
            <w:vAlign w:val="top"/>
          </w:tcPr>
          <w:p w14:paraId="31C7A8B7">
            <w:pPr>
              <w:spacing w:line="340" w:lineRule="exact"/>
              <w:rPr>
                <w:rFonts w:hint="eastAsia" w:ascii="宋体" w:hAnsi="宋体" w:cs="宋体"/>
                <w:sz w:val="28"/>
                <w:szCs w:val="24"/>
                <w:highlight w:val="none"/>
              </w:rPr>
            </w:pPr>
          </w:p>
        </w:tc>
        <w:tc>
          <w:tcPr>
            <w:tcW w:w="1161" w:type="dxa"/>
            <w:noWrap w:val="0"/>
            <w:vAlign w:val="top"/>
          </w:tcPr>
          <w:p w14:paraId="01DA4695">
            <w:pPr>
              <w:spacing w:line="340" w:lineRule="exact"/>
              <w:rPr>
                <w:rFonts w:hint="eastAsia" w:ascii="宋体" w:hAnsi="宋体" w:cs="宋体"/>
                <w:sz w:val="28"/>
                <w:szCs w:val="24"/>
                <w:highlight w:val="none"/>
              </w:rPr>
            </w:pPr>
          </w:p>
        </w:tc>
        <w:tc>
          <w:tcPr>
            <w:tcW w:w="1111" w:type="dxa"/>
            <w:noWrap w:val="0"/>
            <w:vAlign w:val="top"/>
          </w:tcPr>
          <w:p w14:paraId="11AE9360">
            <w:pPr>
              <w:spacing w:line="340" w:lineRule="exact"/>
              <w:rPr>
                <w:rFonts w:hint="eastAsia" w:ascii="宋体" w:hAnsi="宋体" w:cs="宋体"/>
                <w:sz w:val="28"/>
                <w:szCs w:val="24"/>
                <w:highlight w:val="none"/>
              </w:rPr>
            </w:pPr>
          </w:p>
        </w:tc>
        <w:tc>
          <w:tcPr>
            <w:tcW w:w="1125" w:type="dxa"/>
            <w:noWrap w:val="0"/>
            <w:vAlign w:val="top"/>
          </w:tcPr>
          <w:p w14:paraId="226F52AD">
            <w:pPr>
              <w:spacing w:line="340" w:lineRule="exact"/>
              <w:rPr>
                <w:rFonts w:hint="eastAsia" w:ascii="宋体" w:hAnsi="宋体" w:cs="宋体"/>
                <w:sz w:val="28"/>
                <w:szCs w:val="24"/>
                <w:highlight w:val="none"/>
              </w:rPr>
            </w:pPr>
          </w:p>
        </w:tc>
        <w:tc>
          <w:tcPr>
            <w:tcW w:w="651" w:type="dxa"/>
            <w:noWrap w:val="0"/>
            <w:vAlign w:val="top"/>
          </w:tcPr>
          <w:p w14:paraId="3EE9BB22">
            <w:pPr>
              <w:spacing w:line="340" w:lineRule="exact"/>
              <w:rPr>
                <w:rFonts w:hint="eastAsia" w:ascii="宋体" w:hAnsi="宋体" w:cs="宋体"/>
                <w:sz w:val="28"/>
                <w:szCs w:val="24"/>
                <w:highlight w:val="none"/>
              </w:rPr>
            </w:pPr>
          </w:p>
        </w:tc>
      </w:tr>
      <w:tr w14:paraId="5C81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Merge w:val="continue"/>
            <w:noWrap w:val="0"/>
            <w:vAlign w:val="top"/>
          </w:tcPr>
          <w:p w14:paraId="55EBCA9B">
            <w:pPr>
              <w:spacing w:line="340" w:lineRule="exact"/>
              <w:rPr>
                <w:rFonts w:hint="eastAsia" w:ascii="宋体" w:hAnsi="宋体" w:cs="宋体"/>
                <w:sz w:val="28"/>
                <w:szCs w:val="24"/>
                <w:highlight w:val="none"/>
              </w:rPr>
            </w:pPr>
          </w:p>
        </w:tc>
        <w:tc>
          <w:tcPr>
            <w:tcW w:w="1984" w:type="dxa"/>
            <w:noWrap w:val="0"/>
            <w:vAlign w:val="top"/>
          </w:tcPr>
          <w:p w14:paraId="778F4A25">
            <w:pPr>
              <w:spacing w:line="340" w:lineRule="exact"/>
              <w:rPr>
                <w:rFonts w:hint="eastAsia" w:ascii="宋体" w:hAnsi="宋体" w:cs="宋体"/>
                <w:sz w:val="28"/>
                <w:szCs w:val="24"/>
                <w:highlight w:val="none"/>
              </w:rPr>
            </w:pPr>
            <w:r>
              <w:rPr>
                <w:rFonts w:hint="eastAsia" w:ascii="宋体" w:hAnsi="宋体" w:cs="宋体"/>
                <w:sz w:val="28"/>
                <w:szCs w:val="24"/>
                <w:highlight w:val="none"/>
              </w:rPr>
              <w:t>用户反映</w:t>
            </w:r>
          </w:p>
        </w:tc>
        <w:tc>
          <w:tcPr>
            <w:tcW w:w="900" w:type="dxa"/>
            <w:noWrap w:val="0"/>
            <w:vAlign w:val="top"/>
          </w:tcPr>
          <w:p w14:paraId="10538397">
            <w:pPr>
              <w:spacing w:line="340" w:lineRule="exact"/>
              <w:rPr>
                <w:rFonts w:hint="eastAsia" w:ascii="宋体" w:hAnsi="宋体" w:cs="宋体"/>
                <w:sz w:val="28"/>
                <w:szCs w:val="24"/>
                <w:highlight w:val="none"/>
              </w:rPr>
            </w:pPr>
            <w:r>
              <w:rPr>
                <w:rFonts w:hint="eastAsia" w:ascii="宋体" w:hAnsi="宋体" w:cs="宋体"/>
                <w:sz w:val="28"/>
                <w:szCs w:val="24"/>
                <w:highlight w:val="none"/>
                <w:lang w:val="en-US" w:eastAsia="zh-CN"/>
              </w:rPr>
              <w:t>8</w:t>
            </w:r>
            <w:r>
              <w:rPr>
                <w:rFonts w:hint="eastAsia" w:ascii="宋体" w:hAnsi="宋体" w:cs="宋体"/>
                <w:sz w:val="28"/>
                <w:szCs w:val="24"/>
                <w:highlight w:val="none"/>
              </w:rPr>
              <w:t>分</w:t>
            </w:r>
          </w:p>
        </w:tc>
        <w:tc>
          <w:tcPr>
            <w:tcW w:w="1033" w:type="dxa"/>
            <w:noWrap w:val="0"/>
            <w:vAlign w:val="top"/>
          </w:tcPr>
          <w:p w14:paraId="4BA463D0">
            <w:pPr>
              <w:spacing w:line="340" w:lineRule="exact"/>
              <w:rPr>
                <w:rFonts w:hint="eastAsia" w:ascii="宋体" w:hAnsi="宋体" w:cs="宋体"/>
                <w:sz w:val="28"/>
                <w:szCs w:val="24"/>
                <w:highlight w:val="none"/>
              </w:rPr>
            </w:pPr>
          </w:p>
        </w:tc>
        <w:tc>
          <w:tcPr>
            <w:tcW w:w="1161" w:type="dxa"/>
            <w:noWrap w:val="0"/>
            <w:vAlign w:val="top"/>
          </w:tcPr>
          <w:p w14:paraId="5239FB55">
            <w:pPr>
              <w:spacing w:line="340" w:lineRule="exact"/>
              <w:rPr>
                <w:rFonts w:hint="eastAsia" w:ascii="宋体" w:hAnsi="宋体" w:cs="宋体"/>
                <w:sz w:val="28"/>
                <w:szCs w:val="24"/>
                <w:highlight w:val="none"/>
              </w:rPr>
            </w:pPr>
          </w:p>
        </w:tc>
        <w:tc>
          <w:tcPr>
            <w:tcW w:w="1111" w:type="dxa"/>
            <w:noWrap w:val="0"/>
            <w:vAlign w:val="top"/>
          </w:tcPr>
          <w:p w14:paraId="3F31481E">
            <w:pPr>
              <w:spacing w:line="340" w:lineRule="exact"/>
              <w:rPr>
                <w:rFonts w:hint="eastAsia" w:ascii="宋体" w:hAnsi="宋体" w:cs="宋体"/>
                <w:sz w:val="28"/>
                <w:szCs w:val="24"/>
                <w:highlight w:val="none"/>
              </w:rPr>
            </w:pPr>
          </w:p>
        </w:tc>
        <w:tc>
          <w:tcPr>
            <w:tcW w:w="1125" w:type="dxa"/>
            <w:noWrap w:val="0"/>
            <w:vAlign w:val="top"/>
          </w:tcPr>
          <w:p w14:paraId="6F55358B">
            <w:pPr>
              <w:spacing w:line="340" w:lineRule="exact"/>
              <w:rPr>
                <w:rFonts w:hint="eastAsia" w:ascii="宋体" w:hAnsi="宋体" w:cs="宋体"/>
                <w:sz w:val="28"/>
                <w:szCs w:val="24"/>
                <w:highlight w:val="none"/>
              </w:rPr>
            </w:pPr>
          </w:p>
        </w:tc>
        <w:tc>
          <w:tcPr>
            <w:tcW w:w="651" w:type="dxa"/>
            <w:noWrap w:val="0"/>
            <w:vAlign w:val="top"/>
          </w:tcPr>
          <w:p w14:paraId="7999E58C">
            <w:pPr>
              <w:spacing w:line="340" w:lineRule="exact"/>
              <w:rPr>
                <w:rFonts w:hint="eastAsia" w:ascii="宋体" w:hAnsi="宋体" w:cs="宋体"/>
                <w:sz w:val="28"/>
                <w:szCs w:val="24"/>
                <w:highlight w:val="none"/>
              </w:rPr>
            </w:pPr>
          </w:p>
        </w:tc>
      </w:tr>
      <w:tr w14:paraId="744D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noWrap w:val="0"/>
            <w:vAlign w:val="top"/>
          </w:tcPr>
          <w:p w14:paraId="6A869A64">
            <w:pPr>
              <w:spacing w:line="340" w:lineRule="exact"/>
              <w:rPr>
                <w:rFonts w:hint="eastAsia" w:ascii="宋体" w:hAnsi="宋体" w:cs="宋体"/>
                <w:sz w:val="28"/>
                <w:szCs w:val="24"/>
                <w:highlight w:val="none"/>
              </w:rPr>
            </w:pPr>
            <w:r>
              <w:rPr>
                <w:rFonts w:hint="eastAsia" w:ascii="宋体" w:hAnsi="宋体" w:cs="宋体"/>
                <w:sz w:val="28"/>
                <w:szCs w:val="24"/>
                <w:highlight w:val="none"/>
              </w:rPr>
              <w:t>综合得分</w:t>
            </w:r>
          </w:p>
        </w:tc>
        <w:tc>
          <w:tcPr>
            <w:tcW w:w="2884" w:type="dxa"/>
            <w:gridSpan w:val="2"/>
            <w:noWrap w:val="0"/>
            <w:vAlign w:val="top"/>
          </w:tcPr>
          <w:p w14:paraId="77A87202">
            <w:pPr>
              <w:spacing w:line="340" w:lineRule="exact"/>
              <w:rPr>
                <w:rFonts w:hint="eastAsia" w:ascii="宋体" w:hAnsi="宋体" w:cs="宋体"/>
                <w:sz w:val="28"/>
                <w:szCs w:val="24"/>
                <w:highlight w:val="none"/>
              </w:rPr>
            </w:pPr>
          </w:p>
        </w:tc>
        <w:tc>
          <w:tcPr>
            <w:tcW w:w="2194" w:type="dxa"/>
            <w:gridSpan w:val="2"/>
            <w:noWrap w:val="0"/>
            <w:vAlign w:val="top"/>
          </w:tcPr>
          <w:p w14:paraId="127A82E5">
            <w:pPr>
              <w:spacing w:line="340" w:lineRule="exact"/>
              <w:rPr>
                <w:rFonts w:hint="eastAsia" w:ascii="宋体" w:hAnsi="宋体" w:cs="宋体"/>
                <w:sz w:val="28"/>
                <w:szCs w:val="24"/>
                <w:highlight w:val="none"/>
              </w:rPr>
            </w:pPr>
            <w:r>
              <w:rPr>
                <w:rFonts w:hint="eastAsia" w:ascii="宋体" w:hAnsi="宋体" w:cs="宋体"/>
                <w:sz w:val="28"/>
                <w:szCs w:val="24"/>
                <w:highlight w:val="none"/>
              </w:rPr>
              <w:t>综合评定结果</w:t>
            </w:r>
          </w:p>
        </w:tc>
        <w:tc>
          <w:tcPr>
            <w:tcW w:w="2887" w:type="dxa"/>
            <w:gridSpan w:val="3"/>
            <w:noWrap w:val="0"/>
            <w:vAlign w:val="top"/>
          </w:tcPr>
          <w:p w14:paraId="4B0288C9">
            <w:pPr>
              <w:spacing w:line="340" w:lineRule="exact"/>
              <w:rPr>
                <w:rFonts w:hint="eastAsia" w:ascii="宋体" w:hAnsi="宋体" w:cs="宋体"/>
                <w:sz w:val="28"/>
                <w:szCs w:val="24"/>
                <w:highlight w:val="none"/>
              </w:rPr>
            </w:pPr>
          </w:p>
        </w:tc>
      </w:tr>
    </w:tbl>
    <w:p w14:paraId="10610DE1">
      <w:pPr>
        <w:spacing w:line="340" w:lineRule="exact"/>
        <w:rPr>
          <w:rFonts w:hint="eastAsia" w:ascii="宋体" w:hAnsi="宋体" w:cs="宋体"/>
          <w:sz w:val="28"/>
          <w:szCs w:val="24"/>
          <w:highlight w:val="none"/>
        </w:rPr>
      </w:pPr>
      <w:r>
        <w:rPr>
          <w:rFonts w:hint="eastAsia" w:ascii="宋体" w:hAnsi="宋体" w:cs="宋体"/>
          <w:sz w:val="28"/>
          <w:szCs w:val="24"/>
          <w:highlight w:val="none"/>
        </w:rPr>
        <w:t>施工单位名称：</w:t>
      </w:r>
      <w:r>
        <w:rPr>
          <w:rFonts w:hint="eastAsia" w:ascii="宋体" w:hAnsi="宋体" w:cs="宋体"/>
          <w:sz w:val="28"/>
          <w:szCs w:val="24"/>
          <w:highlight w:val="none"/>
          <w:u w:val="single"/>
        </w:rPr>
        <w:t xml:space="preserve">                       </w:t>
      </w:r>
      <w:r>
        <w:rPr>
          <w:rFonts w:hint="eastAsia" w:ascii="宋体" w:hAnsi="宋体" w:cs="宋体"/>
          <w:sz w:val="28"/>
          <w:szCs w:val="24"/>
          <w:highlight w:val="none"/>
        </w:rPr>
        <w:t xml:space="preserve"> 考察时间：</w:t>
      </w:r>
      <w:r>
        <w:rPr>
          <w:rFonts w:hint="eastAsia" w:ascii="宋体" w:hAnsi="宋体" w:cs="宋体"/>
          <w:sz w:val="28"/>
          <w:szCs w:val="24"/>
          <w:highlight w:val="none"/>
          <w:u w:val="single"/>
        </w:rPr>
        <w:t xml:space="preserve">                    </w:t>
      </w:r>
      <w:r>
        <w:rPr>
          <w:rFonts w:hint="eastAsia" w:ascii="宋体" w:hAnsi="宋体" w:cs="宋体"/>
          <w:sz w:val="28"/>
          <w:szCs w:val="24"/>
          <w:highlight w:val="none"/>
        </w:rPr>
        <w:t xml:space="preserve">                      </w:t>
      </w:r>
      <w:r>
        <w:rPr>
          <w:rFonts w:hint="eastAsia" w:ascii="宋体" w:hAnsi="宋体" w:cs="宋体"/>
          <w:sz w:val="28"/>
          <w:szCs w:val="24"/>
          <w:highlight w:val="none"/>
        </w:rPr>
        <w:br w:type="textWrapping"/>
      </w:r>
      <w:r>
        <w:rPr>
          <w:rFonts w:hint="eastAsia" w:ascii="宋体" w:hAnsi="宋体" w:cs="宋体"/>
          <w:sz w:val="28"/>
          <w:szCs w:val="24"/>
          <w:highlight w:val="none"/>
        </w:rPr>
        <w:t>代表性在建项目：</w:t>
      </w:r>
      <w:r>
        <w:rPr>
          <w:rFonts w:hint="eastAsia" w:ascii="宋体" w:hAnsi="宋体" w:cs="宋体"/>
          <w:sz w:val="28"/>
          <w:szCs w:val="24"/>
          <w:highlight w:val="none"/>
          <w:u w:val="single"/>
        </w:rPr>
        <w:t xml:space="preserve">                    </w:t>
      </w:r>
      <w:r>
        <w:rPr>
          <w:rFonts w:hint="eastAsia" w:ascii="宋体" w:hAnsi="宋体" w:cs="宋体"/>
          <w:sz w:val="28"/>
          <w:szCs w:val="24"/>
          <w:highlight w:val="none"/>
        </w:rPr>
        <w:t xml:space="preserve">   项目经理：</w:t>
      </w:r>
      <w:r>
        <w:rPr>
          <w:rFonts w:hint="eastAsia" w:ascii="宋体" w:hAnsi="宋体" w:cs="宋体"/>
          <w:sz w:val="28"/>
          <w:szCs w:val="24"/>
          <w:highlight w:val="none"/>
          <w:u w:val="single"/>
        </w:rPr>
        <w:t xml:space="preserve">                    </w:t>
      </w:r>
      <w:r>
        <w:rPr>
          <w:rFonts w:hint="eastAsia" w:ascii="宋体" w:hAnsi="宋体" w:cs="宋体"/>
          <w:sz w:val="28"/>
          <w:szCs w:val="24"/>
          <w:highlight w:val="none"/>
        </w:rPr>
        <w:t xml:space="preserve">                      </w:t>
      </w:r>
      <w:r>
        <w:rPr>
          <w:rFonts w:hint="eastAsia" w:ascii="宋体" w:hAnsi="宋体" w:cs="宋体"/>
          <w:sz w:val="28"/>
          <w:szCs w:val="24"/>
          <w:highlight w:val="none"/>
        </w:rPr>
        <w:br w:type="textWrapping"/>
      </w:r>
      <w:r>
        <w:rPr>
          <w:rFonts w:hint="eastAsia" w:ascii="宋体" w:hAnsi="宋体" w:cs="宋体"/>
          <w:sz w:val="28"/>
          <w:szCs w:val="24"/>
          <w:highlight w:val="none"/>
        </w:rPr>
        <w:t>代表性已竣工项目：</w:t>
      </w:r>
      <w:r>
        <w:rPr>
          <w:rFonts w:hint="eastAsia" w:ascii="宋体" w:hAnsi="宋体" w:cs="宋体"/>
          <w:sz w:val="28"/>
          <w:szCs w:val="24"/>
          <w:highlight w:val="none"/>
          <w:u w:val="single"/>
        </w:rPr>
        <w:t xml:space="preserve">                   </w:t>
      </w:r>
      <w:r>
        <w:rPr>
          <w:rFonts w:hint="eastAsia" w:ascii="宋体" w:hAnsi="宋体" w:cs="宋体"/>
          <w:sz w:val="28"/>
          <w:szCs w:val="24"/>
          <w:highlight w:val="none"/>
        </w:rPr>
        <w:t xml:space="preserve">  项目经理：</w:t>
      </w:r>
      <w:r>
        <w:rPr>
          <w:rFonts w:hint="eastAsia" w:ascii="宋体" w:hAnsi="宋体" w:cs="宋体"/>
          <w:sz w:val="28"/>
          <w:szCs w:val="24"/>
          <w:highlight w:val="none"/>
          <w:u w:val="single"/>
        </w:rPr>
        <w:t xml:space="preserve">                    </w:t>
      </w:r>
      <w:r>
        <w:rPr>
          <w:rFonts w:hint="eastAsia" w:ascii="宋体" w:hAnsi="宋体" w:cs="宋体"/>
          <w:sz w:val="28"/>
          <w:szCs w:val="24"/>
          <w:highlight w:val="none"/>
        </w:rPr>
        <w:t xml:space="preserve">                    </w:t>
      </w:r>
      <w:r>
        <w:rPr>
          <w:rFonts w:hint="eastAsia" w:ascii="宋体" w:hAnsi="宋体" w:cs="宋体"/>
          <w:sz w:val="28"/>
          <w:szCs w:val="24"/>
          <w:highlight w:val="none"/>
          <w:u w:val="single"/>
        </w:rPr>
        <w:br w:type="textWrapping"/>
      </w:r>
      <w:r>
        <w:rPr>
          <w:rFonts w:hint="eastAsia" w:ascii="宋体" w:hAnsi="宋体" w:cs="宋体"/>
          <w:sz w:val="28"/>
          <w:szCs w:val="24"/>
          <w:highlight w:val="none"/>
        </w:rPr>
        <w:t>1、考察总分达70分以上视为合格，90分以上视为优秀；</w:t>
      </w:r>
      <w:r>
        <w:rPr>
          <w:rFonts w:hint="eastAsia" w:ascii="宋体" w:hAnsi="宋体" w:cs="宋体"/>
          <w:sz w:val="28"/>
          <w:szCs w:val="24"/>
          <w:highlight w:val="none"/>
        </w:rPr>
        <w:br w:type="textWrapping"/>
      </w:r>
      <w:r>
        <w:rPr>
          <w:rFonts w:hint="eastAsia" w:ascii="宋体" w:hAnsi="宋体" w:cs="宋体"/>
          <w:sz w:val="28"/>
          <w:szCs w:val="24"/>
          <w:highlight w:val="none"/>
        </w:rPr>
        <w:t xml:space="preserve">2、如以上部分内容无法进行考察的，可以按实际完成的考察内容进行换算得分，但实际考察内容权重必须超过全部要求考察内容的70％。 </w:t>
      </w:r>
    </w:p>
    <w:p w14:paraId="0BE43082">
      <w:pPr>
        <w:numPr>
          <w:ilvl w:val="0"/>
          <w:numId w:val="8"/>
        </w:numPr>
        <w:spacing w:line="340" w:lineRule="exact"/>
        <w:rPr>
          <w:rFonts w:hint="eastAsia" w:ascii="宋体" w:hAnsi="宋体" w:cs="宋体"/>
          <w:sz w:val="28"/>
          <w:szCs w:val="24"/>
          <w:highlight w:val="none"/>
        </w:rPr>
      </w:pPr>
      <w:r>
        <w:rPr>
          <w:rFonts w:hint="eastAsia" w:ascii="宋体" w:hAnsi="宋体" w:cs="宋体"/>
          <w:sz w:val="28"/>
          <w:szCs w:val="24"/>
          <w:highlight w:val="none"/>
        </w:rPr>
        <w:t>考察总分未达70分的，禁止进场，待整改达标后进场施工。</w:t>
      </w:r>
    </w:p>
    <w:p w14:paraId="669C3E5F">
      <w:pPr>
        <w:spacing w:line="340" w:lineRule="exact"/>
        <w:rPr>
          <w:rFonts w:hint="eastAsia" w:ascii="宋体" w:hAnsi="宋体" w:cs="宋体"/>
          <w:sz w:val="28"/>
          <w:szCs w:val="24"/>
          <w:highlight w:val="none"/>
        </w:rPr>
      </w:pPr>
      <w:r>
        <w:rPr>
          <w:rFonts w:hint="eastAsia" w:ascii="宋体" w:hAnsi="宋体" w:cs="宋体"/>
          <w:sz w:val="28"/>
          <w:szCs w:val="24"/>
          <w:highlight w:val="none"/>
        </w:rPr>
        <w:br w:type="page"/>
      </w:r>
      <w:r>
        <w:rPr>
          <w:rFonts w:hint="eastAsia" w:ascii="宋体" w:hAnsi="宋体" w:cs="宋体"/>
          <w:sz w:val="28"/>
          <w:szCs w:val="24"/>
          <w:highlight w:val="none"/>
        </w:rPr>
        <w:t>附件2</w:t>
      </w:r>
    </w:p>
    <w:p w14:paraId="708E2D40">
      <w:pPr>
        <w:spacing w:line="320" w:lineRule="exact"/>
        <w:jc w:val="center"/>
        <w:rPr>
          <w:rFonts w:hint="eastAsia" w:ascii="宋体" w:hAnsi="宋体" w:cs="宋体"/>
          <w:b/>
          <w:sz w:val="28"/>
          <w:szCs w:val="24"/>
          <w:highlight w:val="none"/>
        </w:rPr>
      </w:pPr>
      <w:r>
        <w:rPr>
          <w:rFonts w:hint="eastAsia" w:ascii="宋体" w:hAnsi="宋体" w:cs="宋体"/>
          <w:b/>
          <w:sz w:val="28"/>
          <w:szCs w:val="24"/>
          <w:highlight w:val="none"/>
        </w:rPr>
        <w:t>施工单位施工阶段考核评分表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643"/>
        <w:gridCol w:w="270"/>
        <w:gridCol w:w="655"/>
        <w:gridCol w:w="1397"/>
        <w:gridCol w:w="2322"/>
        <w:gridCol w:w="650"/>
        <w:gridCol w:w="582"/>
        <w:gridCol w:w="1090"/>
      </w:tblGrid>
      <w:tr w14:paraId="2FBB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gridSpan w:val="2"/>
            <w:noWrap w:val="0"/>
            <w:vAlign w:val="top"/>
          </w:tcPr>
          <w:p w14:paraId="5D735482">
            <w:pPr>
              <w:spacing w:line="32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施工单位名称</w:t>
            </w:r>
          </w:p>
        </w:tc>
        <w:tc>
          <w:tcPr>
            <w:tcW w:w="2322" w:type="dxa"/>
            <w:gridSpan w:val="3"/>
            <w:noWrap w:val="0"/>
            <w:vAlign w:val="top"/>
          </w:tcPr>
          <w:p w14:paraId="06D6F0E4">
            <w:pPr>
              <w:spacing w:line="320" w:lineRule="exact"/>
              <w:jc w:val="center"/>
              <w:rPr>
                <w:rFonts w:hint="eastAsia" w:ascii="宋体" w:hAnsi="宋体" w:cs="宋体"/>
                <w:b/>
                <w:bCs/>
                <w:sz w:val="28"/>
                <w:szCs w:val="24"/>
                <w:highlight w:val="none"/>
              </w:rPr>
            </w:pPr>
          </w:p>
        </w:tc>
        <w:tc>
          <w:tcPr>
            <w:tcW w:w="2322" w:type="dxa"/>
            <w:noWrap w:val="0"/>
            <w:vAlign w:val="top"/>
          </w:tcPr>
          <w:p w14:paraId="78487BF7">
            <w:pPr>
              <w:spacing w:line="32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322" w:type="dxa"/>
            <w:gridSpan w:val="3"/>
            <w:noWrap w:val="0"/>
            <w:vAlign w:val="top"/>
          </w:tcPr>
          <w:p w14:paraId="1CC2B48B">
            <w:pPr>
              <w:spacing w:line="320" w:lineRule="exact"/>
              <w:jc w:val="center"/>
              <w:rPr>
                <w:rFonts w:hint="eastAsia" w:ascii="宋体" w:hAnsi="宋体" w:cs="宋体"/>
                <w:b/>
                <w:bCs/>
                <w:sz w:val="28"/>
                <w:szCs w:val="24"/>
                <w:highlight w:val="none"/>
              </w:rPr>
            </w:pPr>
          </w:p>
        </w:tc>
      </w:tr>
      <w:tr w14:paraId="0296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4"/>
            <w:noWrap w:val="0"/>
            <w:vAlign w:val="top"/>
          </w:tcPr>
          <w:p w14:paraId="0B405237">
            <w:pPr>
              <w:spacing w:line="32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考核部门</w:t>
            </w:r>
          </w:p>
        </w:tc>
        <w:tc>
          <w:tcPr>
            <w:tcW w:w="6041" w:type="dxa"/>
            <w:gridSpan w:val="5"/>
            <w:noWrap w:val="0"/>
            <w:vAlign w:val="center"/>
          </w:tcPr>
          <w:p w14:paraId="6753AC52">
            <w:pPr>
              <w:spacing w:line="32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工程管理部（20分）</w:t>
            </w:r>
          </w:p>
        </w:tc>
      </w:tr>
      <w:tr w14:paraId="4363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top"/>
          </w:tcPr>
          <w:p w14:paraId="061A1E2B">
            <w:pPr>
              <w:spacing w:line="320" w:lineRule="exact"/>
              <w:rPr>
                <w:rFonts w:hint="eastAsia" w:ascii="宋体" w:hAnsi="宋体" w:cs="宋体"/>
                <w:sz w:val="28"/>
                <w:szCs w:val="24"/>
                <w:highlight w:val="none"/>
              </w:rPr>
            </w:pPr>
            <w:r>
              <w:rPr>
                <w:rFonts w:hint="eastAsia" w:ascii="宋体" w:hAnsi="宋体" w:cs="宋体"/>
                <w:sz w:val="28"/>
                <w:szCs w:val="24"/>
                <w:highlight w:val="none"/>
              </w:rPr>
              <w:t>考核项目</w:t>
            </w:r>
          </w:p>
        </w:tc>
        <w:tc>
          <w:tcPr>
            <w:tcW w:w="1913" w:type="dxa"/>
            <w:gridSpan w:val="2"/>
            <w:noWrap w:val="0"/>
            <w:vAlign w:val="center"/>
          </w:tcPr>
          <w:p w14:paraId="372F1E11">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考核内容</w:t>
            </w:r>
          </w:p>
        </w:tc>
        <w:tc>
          <w:tcPr>
            <w:tcW w:w="655" w:type="dxa"/>
            <w:noWrap w:val="0"/>
            <w:vAlign w:val="center"/>
          </w:tcPr>
          <w:p w14:paraId="20CB2238">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分值</w:t>
            </w:r>
          </w:p>
        </w:tc>
        <w:tc>
          <w:tcPr>
            <w:tcW w:w="4369" w:type="dxa"/>
            <w:gridSpan w:val="3"/>
            <w:noWrap w:val="0"/>
            <w:vAlign w:val="center"/>
          </w:tcPr>
          <w:p w14:paraId="0A78BAE1">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评分标准</w:t>
            </w:r>
          </w:p>
        </w:tc>
        <w:tc>
          <w:tcPr>
            <w:tcW w:w="582" w:type="dxa"/>
            <w:noWrap w:val="0"/>
            <w:vAlign w:val="center"/>
          </w:tcPr>
          <w:p w14:paraId="3E1E63BA">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得分</w:t>
            </w:r>
          </w:p>
        </w:tc>
        <w:tc>
          <w:tcPr>
            <w:tcW w:w="1090" w:type="dxa"/>
            <w:noWrap w:val="0"/>
            <w:vAlign w:val="center"/>
          </w:tcPr>
          <w:p w14:paraId="3ED4E82C">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扣分原因</w:t>
            </w:r>
          </w:p>
        </w:tc>
      </w:tr>
      <w:tr w14:paraId="13A6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679" w:type="dxa"/>
            <w:noWrap w:val="0"/>
            <w:vAlign w:val="center"/>
          </w:tcPr>
          <w:p w14:paraId="5DFCD5CA">
            <w:pPr>
              <w:spacing w:line="320" w:lineRule="exact"/>
              <w:rPr>
                <w:rFonts w:hint="eastAsia" w:ascii="宋体" w:hAnsi="宋体" w:cs="宋体"/>
                <w:sz w:val="28"/>
                <w:szCs w:val="24"/>
                <w:highlight w:val="none"/>
              </w:rPr>
            </w:pPr>
            <w:r>
              <w:rPr>
                <w:rFonts w:hint="eastAsia" w:ascii="宋体" w:hAnsi="宋体" w:cs="宋体"/>
                <w:sz w:val="28"/>
                <w:szCs w:val="24"/>
                <w:highlight w:val="none"/>
              </w:rPr>
              <w:t>项目部组织架构</w:t>
            </w:r>
          </w:p>
        </w:tc>
        <w:tc>
          <w:tcPr>
            <w:tcW w:w="1913" w:type="dxa"/>
            <w:gridSpan w:val="2"/>
            <w:noWrap w:val="0"/>
            <w:vAlign w:val="center"/>
          </w:tcPr>
          <w:p w14:paraId="6C343269">
            <w:pPr>
              <w:spacing w:line="320" w:lineRule="exact"/>
              <w:rPr>
                <w:rFonts w:hint="eastAsia" w:ascii="宋体" w:hAnsi="宋体" w:cs="宋体"/>
                <w:sz w:val="28"/>
                <w:szCs w:val="24"/>
                <w:highlight w:val="none"/>
              </w:rPr>
            </w:pPr>
            <w:r>
              <w:rPr>
                <w:rFonts w:hint="eastAsia" w:ascii="宋体" w:hAnsi="宋体" w:cs="宋体"/>
                <w:sz w:val="28"/>
                <w:szCs w:val="24"/>
                <w:highlight w:val="none"/>
              </w:rPr>
              <w:t>1.项目部组织架构及人员配备与投标文件一致。</w:t>
            </w:r>
          </w:p>
        </w:tc>
        <w:tc>
          <w:tcPr>
            <w:tcW w:w="655" w:type="dxa"/>
            <w:noWrap w:val="0"/>
            <w:vAlign w:val="center"/>
          </w:tcPr>
          <w:p w14:paraId="7E26A70D">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369" w:type="dxa"/>
            <w:gridSpan w:val="3"/>
            <w:noWrap w:val="0"/>
            <w:vAlign w:val="center"/>
          </w:tcPr>
          <w:p w14:paraId="7B9EBA51">
            <w:pPr>
              <w:spacing w:line="320" w:lineRule="exact"/>
              <w:rPr>
                <w:rFonts w:hint="eastAsia" w:ascii="宋体" w:hAnsi="宋体" w:cs="宋体"/>
                <w:sz w:val="28"/>
                <w:szCs w:val="24"/>
                <w:highlight w:val="none"/>
              </w:rPr>
            </w:pPr>
            <w:r>
              <w:rPr>
                <w:rFonts w:hint="eastAsia" w:ascii="宋体" w:hAnsi="宋体" w:cs="宋体"/>
                <w:sz w:val="28"/>
                <w:szCs w:val="24"/>
                <w:highlight w:val="none"/>
              </w:rPr>
              <w:t>项目部组织架构的设立及人员配备与投标文件不否，扣3分。</w:t>
            </w:r>
          </w:p>
        </w:tc>
        <w:tc>
          <w:tcPr>
            <w:tcW w:w="582" w:type="dxa"/>
            <w:noWrap w:val="0"/>
            <w:vAlign w:val="center"/>
          </w:tcPr>
          <w:p w14:paraId="2E55BD34">
            <w:pPr>
              <w:spacing w:line="320" w:lineRule="exact"/>
              <w:jc w:val="center"/>
              <w:rPr>
                <w:rFonts w:hint="eastAsia" w:ascii="宋体" w:hAnsi="宋体" w:cs="宋体"/>
                <w:sz w:val="28"/>
                <w:szCs w:val="24"/>
                <w:highlight w:val="none"/>
              </w:rPr>
            </w:pPr>
          </w:p>
        </w:tc>
        <w:tc>
          <w:tcPr>
            <w:tcW w:w="1090" w:type="dxa"/>
            <w:noWrap w:val="0"/>
            <w:vAlign w:val="center"/>
          </w:tcPr>
          <w:p w14:paraId="4A496632">
            <w:pPr>
              <w:spacing w:line="320" w:lineRule="exact"/>
              <w:jc w:val="center"/>
              <w:rPr>
                <w:rFonts w:hint="eastAsia" w:ascii="宋体" w:hAnsi="宋体" w:cs="宋体"/>
                <w:sz w:val="28"/>
                <w:szCs w:val="24"/>
                <w:highlight w:val="none"/>
              </w:rPr>
            </w:pPr>
          </w:p>
        </w:tc>
      </w:tr>
      <w:tr w14:paraId="2D75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679" w:type="dxa"/>
            <w:vMerge w:val="restart"/>
            <w:noWrap w:val="0"/>
            <w:vAlign w:val="center"/>
          </w:tcPr>
          <w:p w14:paraId="3A47988E">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项目经理</w:t>
            </w:r>
          </w:p>
        </w:tc>
        <w:tc>
          <w:tcPr>
            <w:tcW w:w="1913" w:type="dxa"/>
            <w:gridSpan w:val="2"/>
            <w:noWrap w:val="0"/>
            <w:vAlign w:val="center"/>
          </w:tcPr>
          <w:p w14:paraId="229FAFB6">
            <w:pPr>
              <w:spacing w:line="320" w:lineRule="exact"/>
              <w:rPr>
                <w:rFonts w:hint="eastAsia" w:ascii="宋体" w:hAnsi="宋体" w:cs="宋体"/>
                <w:sz w:val="28"/>
                <w:szCs w:val="24"/>
                <w:highlight w:val="none"/>
              </w:rPr>
            </w:pPr>
            <w:r>
              <w:rPr>
                <w:rFonts w:hint="eastAsia" w:ascii="宋体" w:hAnsi="宋体" w:cs="宋体"/>
                <w:sz w:val="28"/>
                <w:szCs w:val="24"/>
                <w:highlight w:val="none"/>
              </w:rPr>
              <w:t>1.项目经理与投标文件一致。</w:t>
            </w:r>
          </w:p>
        </w:tc>
        <w:tc>
          <w:tcPr>
            <w:tcW w:w="655" w:type="dxa"/>
            <w:noWrap w:val="0"/>
            <w:vAlign w:val="center"/>
          </w:tcPr>
          <w:p w14:paraId="0BDE6237">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369" w:type="dxa"/>
            <w:gridSpan w:val="3"/>
            <w:noWrap w:val="0"/>
            <w:vAlign w:val="center"/>
          </w:tcPr>
          <w:p w14:paraId="3B888E70">
            <w:pPr>
              <w:spacing w:line="320" w:lineRule="exact"/>
              <w:rPr>
                <w:rFonts w:hint="eastAsia" w:ascii="宋体" w:hAnsi="宋体" w:cs="宋体"/>
                <w:sz w:val="28"/>
                <w:szCs w:val="24"/>
                <w:highlight w:val="none"/>
              </w:rPr>
            </w:pPr>
            <w:r>
              <w:rPr>
                <w:rFonts w:hint="eastAsia" w:ascii="宋体" w:hAnsi="宋体" w:cs="宋体"/>
                <w:sz w:val="28"/>
                <w:szCs w:val="24"/>
                <w:highlight w:val="none"/>
              </w:rPr>
              <w:t>项目经理与投标文件不符，本项考核为零分。</w:t>
            </w:r>
          </w:p>
        </w:tc>
        <w:tc>
          <w:tcPr>
            <w:tcW w:w="582" w:type="dxa"/>
            <w:noWrap w:val="0"/>
            <w:vAlign w:val="center"/>
          </w:tcPr>
          <w:p w14:paraId="29D3A397">
            <w:pPr>
              <w:spacing w:line="320" w:lineRule="exact"/>
              <w:jc w:val="center"/>
              <w:rPr>
                <w:rFonts w:hint="eastAsia" w:ascii="宋体" w:hAnsi="宋体" w:cs="宋体"/>
                <w:sz w:val="28"/>
                <w:szCs w:val="24"/>
                <w:highlight w:val="none"/>
              </w:rPr>
            </w:pPr>
          </w:p>
        </w:tc>
        <w:tc>
          <w:tcPr>
            <w:tcW w:w="1090" w:type="dxa"/>
            <w:noWrap w:val="0"/>
            <w:vAlign w:val="center"/>
          </w:tcPr>
          <w:p w14:paraId="1CB8A5F6">
            <w:pPr>
              <w:spacing w:line="320" w:lineRule="exact"/>
              <w:jc w:val="center"/>
              <w:rPr>
                <w:rFonts w:hint="eastAsia" w:ascii="宋体" w:hAnsi="宋体" w:cs="宋体"/>
                <w:sz w:val="28"/>
                <w:szCs w:val="24"/>
                <w:highlight w:val="none"/>
              </w:rPr>
            </w:pPr>
          </w:p>
        </w:tc>
      </w:tr>
      <w:tr w14:paraId="6AD8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679" w:type="dxa"/>
            <w:vMerge w:val="continue"/>
            <w:noWrap w:val="0"/>
            <w:vAlign w:val="top"/>
          </w:tcPr>
          <w:p w14:paraId="0DCEC971">
            <w:pPr>
              <w:spacing w:line="320" w:lineRule="exact"/>
              <w:rPr>
                <w:rFonts w:hint="eastAsia" w:ascii="宋体" w:hAnsi="宋体" w:cs="宋体"/>
                <w:sz w:val="28"/>
                <w:szCs w:val="24"/>
                <w:highlight w:val="none"/>
              </w:rPr>
            </w:pPr>
          </w:p>
        </w:tc>
        <w:tc>
          <w:tcPr>
            <w:tcW w:w="1913" w:type="dxa"/>
            <w:gridSpan w:val="2"/>
            <w:noWrap w:val="0"/>
            <w:vAlign w:val="center"/>
          </w:tcPr>
          <w:p w14:paraId="5EF92A4B">
            <w:pPr>
              <w:spacing w:line="320" w:lineRule="exact"/>
              <w:rPr>
                <w:rFonts w:hint="eastAsia" w:ascii="宋体" w:hAnsi="宋体" w:cs="宋体"/>
                <w:sz w:val="28"/>
                <w:szCs w:val="24"/>
                <w:highlight w:val="none"/>
              </w:rPr>
            </w:pPr>
            <w:r>
              <w:rPr>
                <w:rFonts w:hint="eastAsia" w:ascii="宋体" w:hAnsi="宋体" w:cs="宋体"/>
                <w:sz w:val="28"/>
                <w:szCs w:val="24"/>
                <w:highlight w:val="none"/>
              </w:rPr>
              <w:t>2.承包人更换项目经理。</w:t>
            </w:r>
          </w:p>
        </w:tc>
        <w:tc>
          <w:tcPr>
            <w:tcW w:w="655" w:type="dxa"/>
            <w:noWrap w:val="0"/>
            <w:vAlign w:val="center"/>
          </w:tcPr>
          <w:p w14:paraId="45E5CF7F">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369" w:type="dxa"/>
            <w:gridSpan w:val="3"/>
            <w:noWrap w:val="0"/>
            <w:vAlign w:val="center"/>
          </w:tcPr>
          <w:p w14:paraId="00ADB6F2">
            <w:pPr>
              <w:spacing w:line="320" w:lineRule="exact"/>
              <w:rPr>
                <w:rFonts w:hint="eastAsia" w:ascii="宋体" w:hAnsi="宋体" w:cs="宋体"/>
                <w:sz w:val="28"/>
                <w:szCs w:val="24"/>
                <w:highlight w:val="none"/>
              </w:rPr>
            </w:pPr>
            <w:r>
              <w:rPr>
                <w:rFonts w:hint="eastAsia" w:ascii="宋体" w:hAnsi="宋体" w:cs="宋体"/>
                <w:sz w:val="28"/>
                <w:szCs w:val="24"/>
                <w:highlight w:val="none"/>
              </w:rPr>
              <w:t>非发包人原因，承包人经发包人同意后每更换一次项目经理，扣3分。</w:t>
            </w:r>
          </w:p>
          <w:p w14:paraId="45EC0E39">
            <w:pPr>
              <w:spacing w:line="320" w:lineRule="exact"/>
              <w:rPr>
                <w:rFonts w:hint="eastAsia" w:ascii="宋体" w:hAnsi="宋体" w:cs="宋体"/>
                <w:sz w:val="28"/>
                <w:szCs w:val="24"/>
                <w:highlight w:val="none"/>
              </w:rPr>
            </w:pPr>
            <w:r>
              <w:rPr>
                <w:rFonts w:hint="eastAsia" w:ascii="宋体" w:hAnsi="宋体" w:cs="宋体"/>
                <w:sz w:val="28"/>
                <w:szCs w:val="24"/>
                <w:highlight w:val="none"/>
              </w:rPr>
              <w:t>非发包人原因，承包人未经发包人同意更换项目经理，按违约处理，本季度考核为零分。</w:t>
            </w:r>
          </w:p>
        </w:tc>
        <w:tc>
          <w:tcPr>
            <w:tcW w:w="582" w:type="dxa"/>
            <w:noWrap w:val="0"/>
            <w:vAlign w:val="center"/>
          </w:tcPr>
          <w:p w14:paraId="033711FD">
            <w:pPr>
              <w:spacing w:line="320" w:lineRule="exact"/>
              <w:jc w:val="center"/>
              <w:rPr>
                <w:rFonts w:hint="eastAsia" w:ascii="宋体" w:hAnsi="宋体" w:cs="宋体"/>
                <w:sz w:val="28"/>
                <w:szCs w:val="24"/>
                <w:highlight w:val="none"/>
              </w:rPr>
            </w:pPr>
          </w:p>
        </w:tc>
        <w:tc>
          <w:tcPr>
            <w:tcW w:w="1090" w:type="dxa"/>
            <w:noWrap w:val="0"/>
            <w:vAlign w:val="center"/>
          </w:tcPr>
          <w:p w14:paraId="2ADE535C">
            <w:pPr>
              <w:spacing w:line="320" w:lineRule="exact"/>
              <w:jc w:val="center"/>
              <w:rPr>
                <w:rFonts w:hint="eastAsia" w:ascii="宋体" w:hAnsi="宋体" w:cs="宋体"/>
                <w:sz w:val="28"/>
                <w:szCs w:val="24"/>
                <w:highlight w:val="none"/>
              </w:rPr>
            </w:pPr>
          </w:p>
        </w:tc>
      </w:tr>
      <w:tr w14:paraId="7F72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9" w:type="dxa"/>
            <w:vMerge w:val="continue"/>
            <w:noWrap w:val="0"/>
            <w:vAlign w:val="top"/>
          </w:tcPr>
          <w:p w14:paraId="5722FEDD">
            <w:pPr>
              <w:spacing w:line="320" w:lineRule="exact"/>
              <w:rPr>
                <w:rFonts w:hint="eastAsia" w:ascii="宋体" w:hAnsi="宋体" w:cs="宋体"/>
                <w:sz w:val="28"/>
                <w:szCs w:val="24"/>
                <w:highlight w:val="none"/>
              </w:rPr>
            </w:pPr>
          </w:p>
        </w:tc>
        <w:tc>
          <w:tcPr>
            <w:tcW w:w="1913" w:type="dxa"/>
            <w:gridSpan w:val="2"/>
            <w:noWrap w:val="0"/>
            <w:vAlign w:val="center"/>
          </w:tcPr>
          <w:p w14:paraId="5D039B82">
            <w:pPr>
              <w:spacing w:line="320" w:lineRule="exact"/>
              <w:rPr>
                <w:rFonts w:hint="eastAsia" w:ascii="宋体" w:hAnsi="宋体" w:cs="宋体"/>
                <w:sz w:val="28"/>
                <w:szCs w:val="24"/>
                <w:highlight w:val="none"/>
              </w:rPr>
            </w:pPr>
            <w:r>
              <w:rPr>
                <w:rFonts w:hint="eastAsia" w:ascii="宋体" w:hAnsi="宋体" w:cs="宋体"/>
                <w:sz w:val="28"/>
                <w:szCs w:val="24"/>
                <w:highlight w:val="none"/>
              </w:rPr>
              <w:t>3.项目经理履职情况。</w:t>
            </w:r>
          </w:p>
        </w:tc>
        <w:tc>
          <w:tcPr>
            <w:tcW w:w="655" w:type="dxa"/>
            <w:noWrap w:val="0"/>
            <w:vAlign w:val="center"/>
          </w:tcPr>
          <w:p w14:paraId="0B1B307F">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369" w:type="dxa"/>
            <w:gridSpan w:val="3"/>
            <w:noWrap w:val="0"/>
            <w:vAlign w:val="center"/>
          </w:tcPr>
          <w:p w14:paraId="7CEEC467">
            <w:pPr>
              <w:spacing w:line="320" w:lineRule="exact"/>
              <w:rPr>
                <w:rFonts w:hint="eastAsia" w:ascii="宋体" w:hAnsi="宋体" w:cs="宋体"/>
                <w:sz w:val="28"/>
                <w:szCs w:val="24"/>
                <w:highlight w:val="none"/>
              </w:rPr>
            </w:pPr>
            <w:r>
              <w:rPr>
                <w:rFonts w:hint="eastAsia" w:ascii="宋体" w:hAnsi="宋体" w:cs="宋体"/>
                <w:sz w:val="28"/>
                <w:szCs w:val="24"/>
                <w:highlight w:val="none"/>
              </w:rPr>
              <w:t>项目经理每周在现场少于5天，每天少于8小时，每少一天罚款2000元。扣1分。</w:t>
            </w:r>
          </w:p>
          <w:p w14:paraId="625A4880">
            <w:pPr>
              <w:spacing w:line="320" w:lineRule="exact"/>
              <w:rPr>
                <w:rFonts w:hint="eastAsia" w:ascii="宋体" w:hAnsi="宋体" w:cs="宋体"/>
                <w:sz w:val="28"/>
                <w:szCs w:val="24"/>
                <w:highlight w:val="none"/>
              </w:rPr>
            </w:pPr>
            <w:r>
              <w:rPr>
                <w:rFonts w:hint="eastAsia" w:ascii="宋体" w:hAnsi="宋体" w:cs="宋体"/>
                <w:sz w:val="28"/>
                <w:szCs w:val="24"/>
                <w:highlight w:val="none"/>
              </w:rPr>
              <w:t>检查时不在工地，并未按要求履行请假手续，扣1分。</w:t>
            </w:r>
          </w:p>
        </w:tc>
        <w:tc>
          <w:tcPr>
            <w:tcW w:w="582" w:type="dxa"/>
            <w:noWrap w:val="0"/>
            <w:vAlign w:val="center"/>
          </w:tcPr>
          <w:p w14:paraId="309576F6">
            <w:pPr>
              <w:spacing w:line="320" w:lineRule="exact"/>
              <w:jc w:val="center"/>
              <w:rPr>
                <w:rFonts w:hint="eastAsia" w:ascii="宋体" w:hAnsi="宋体" w:cs="宋体"/>
                <w:sz w:val="28"/>
                <w:szCs w:val="24"/>
                <w:highlight w:val="none"/>
              </w:rPr>
            </w:pPr>
          </w:p>
        </w:tc>
        <w:tc>
          <w:tcPr>
            <w:tcW w:w="1090" w:type="dxa"/>
            <w:noWrap w:val="0"/>
            <w:vAlign w:val="center"/>
          </w:tcPr>
          <w:p w14:paraId="44F500EC">
            <w:pPr>
              <w:spacing w:line="320" w:lineRule="exact"/>
              <w:jc w:val="center"/>
              <w:rPr>
                <w:rFonts w:hint="eastAsia" w:ascii="宋体" w:hAnsi="宋体" w:cs="宋体"/>
                <w:sz w:val="28"/>
                <w:szCs w:val="24"/>
                <w:highlight w:val="none"/>
              </w:rPr>
            </w:pPr>
          </w:p>
        </w:tc>
      </w:tr>
      <w:tr w14:paraId="43E1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9" w:type="dxa"/>
            <w:vMerge w:val="restart"/>
            <w:noWrap w:val="0"/>
            <w:vAlign w:val="center"/>
          </w:tcPr>
          <w:p w14:paraId="6F387039">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其他主要管理人员</w:t>
            </w:r>
          </w:p>
        </w:tc>
        <w:tc>
          <w:tcPr>
            <w:tcW w:w="1913" w:type="dxa"/>
            <w:gridSpan w:val="2"/>
            <w:noWrap w:val="0"/>
            <w:vAlign w:val="center"/>
          </w:tcPr>
          <w:p w14:paraId="57D02CF0">
            <w:pPr>
              <w:spacing w:line="320" w:lineRule="exact"/>
              <w:rPr>
                <w:rFonts w:hint="eastAsia" w:ascii="宋体" w:hAnsi="宋体" w:cs="宋体"/>
                <w:sz w:val="28"/>
                <w:szCs w:val="24"/>
                <w:highlight w:val="none"/>
              </w:rPr>
            </w:pPr>
            <w:r>
              <w:rPr>
                <w:rFonts w:hint="eastAsia" w:ascii="宋体" w:hAnsi="宋体" w:cs="宋体"/>
                <w:sz w:val="28"/>
                <w:szCs w:val="24"/>
                <w:highlight w:val="none"/>
              </w:rPr>
              <w:t>1.承包人更换其他主要管理人员。</w:t>
            </w:r>
          </w:p>
        </w:tc>
        <w:tc>
          <w:tcPr>
            <w:tcW w:w="655" w:type="dxa"/>
            <w:noWrap w:val="0"/>
            <w:vAlign w:val="center"/>
          </w:tcPr>
          <w:p w14:paraId="1623B581">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1</w:t>
            </w:r>
          </w:p>
        </w:tc>
        <w:tc>
          <w:tcPr>
            <w:tcW w:w="4369" w:type="dxa"/>
            <w:gridSpan w:val="3"/>
            <w:noWrap w:val="0"/>
            <w:vAlign w:val="center"/>
          </w:tcPr>
          <w:p w14:paraId="70FF7820">
            <w:pPr>
              <w:spacing w:line="320" w:lineRule="exact"/>
              <w:rPr>
                <w:rFonts w:hint="eastAsia" w:ascii="宋体" w:hAnsi="宋体" w:cs="宋体"/>
                <w:sz w:val="28"/>
                <w:szCs w:val="24"/>
                <w:highlight w:val="none"/>
              </w:rPr>
            </w:pPr>
            <w:r>
              <w:rPr>
                <w:rFonts w:hint="eastAsia" w:ascii="宋体" w:hAnsi="宋体" w:cs="宋体"/>
                <w:sz w:val="28"/>
                <w:szCs w:val="24"/>
                <w:highlight w:val="none"/>
              </w:rPr>
              <w:t>1.承包人按照合同《施工单位管理人员在岗履职承诺书》规定，履行手续，每更换一次主要管理人员，扣0.5分。</w:t>
            </w:r>
          </w:p>
          <w:p w14:paraId="41562692">
            <w:pPr>
              <w:spacing w:line="320" w:lineRule="exact"/>
              <w:rPr>
                <w:rFonts w:hint="eastAsia" w:ascii="宋体" w:hAnsi="宋体" w:cs="宋体"/>
                <w:sz w:val="28"/>
                <w:szCs w:val="24"/>
                <w:highlight w:val="none"/>
              </w:rPr>
            </w:pPr>
            <w:r>
              <w:rPr>
                <w:rFonts w:hint="eastAsia" w:ascii="宋体" w:hAnsi="宋体" w:cs="宋体"/>
                <w:sz w:val="28"/>
                <w:szCs w:val="24"/>
                <w:highlight w:val="none"/>
              </w:rPr>
              <w:t>2.承包人未按《施工单位管理人员在岗履职承诺书》规定履行手续，私自更换主要管理人员，按违约处理，扣0.5分。</w:t>
            </w:r>
          </w:p>
        </w:tc>
        <w:tc>
          <w:tcPr>
            <w:tcW w:w="582" w:type="dxa"/>
            <w:noWrap w:val="0"/>
            <w:vAlign w:val="center"/>
          </w:tcPr>
          <w:p w14:paraId="049A3EFF">
            <w:pPr>
              <w:spacing w:line="320" w:lineRule="exact"/>
              <w:jc w:val="center"/>
              <w:rPr>
                <w:rFonts w:hint="eastAsia" w:ascii="宋体" w:hAnsi="宋体" w:cs="宋体"/>
                <w:sz w:val="28"/>
                <w:szCs w:val="24"/>
                <w:highlight w:val="none"/>
              </w:rPr>
            </w:pPr>
          </w:p>
        </w:tc>
        <w:tc>
          <w:tcPr>
            <w:tcW w:w="1090" w:type="dxa"/>
            <w:noWrap w:val="0"/>
            <w:vAlign w:val="center"/>
          </w:tcPr>
          <w:p w14:paraId="04FCD240">
            <w:pPr>
              <w:spacing w:line="320" w:lineRule="exact"/>
              <w:jc w:val="center"/>
              <w:rPr>
                <w:rFonts w:hint="eastAsia" w:ascii="宋体" w:hAnsi="宋体" w:cs="宋体"/>
                <w:sz w:val="28"/>
                <w:szCs w:val="24"/>
                <w:highlight w:val="none"/>
              </w:rPr>
            </w:pPr>
          </w:p>
        </w:tc>
      </w:tr>
      <w:tr w14:paraId="2455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679" w:type="dxa"/>
            <w:vMerge w:val="continue"/>
            <w:noWrap w:val="0"/>
            <w:vAlign w:val="top"/>
          </w:tcPr>
          <w:p w14:paraId="21FFA6D5">
            <w:pPr>
              <w:spacing w:line="320" w:lineRule="exact"/>
              <w:rPr>
                <w:rFonts w:hint="eastAsia" w:ascii="宋体" w:hAnsi="宋体" w:cs="宋体"/>
                <w:sz w:val="28"/>
                <w:szCs w:val="24"/>
                <w:highlight w:val="none"/>
              </w:rPr>
            </w:pPr>
          </w:p>
        </w:tc>
        <w:tc>
          <w:tcPr>
            <w:tcW w:w="1913" w:type="dxa"/>
            <w:gridSpan w:val="2"/>
            <w:noWrap w:val="0"/>
            <w:vAlign w:val="center"/>
          </w:tcPr>
          <w:p w14:paraId="0163E00F">
            <w:pPr>
              <w:spacing w:line="320" w:lineRule="exact"/>
              <w:rPr>
                <w:rFonts w:hint="eastAsia" w:ascii="宋体" w:hAnsi="宋体" w:cs="宋体"/>
                <w:sz w:val="28"/>
                <w:szCs w:val="24"/>
                <w:highlight w:val="none"/>
              </w:rPr>
            </w:pPr>
            <w:r>
              <w:rPr>
                <w:rFonts w:hint="eastAsia" w:ascii="宋体" w:hAnsi="宋体" w:cs="宋体"/>
                <w:sz w:val="28"/>
                <w:szCs w:val="24"/>
                <w:highlight w:val="none"/>
              </w:rPr>
              <w:t>2.重要技术人员履职情况。</w:t>
            </w:r>
          </w:p>
        </w:tc>
        <w:tc>
          <w:tcPr>
            <w:tcW w:w="655" w:type="dxa"/>
            <w:noWrap w:val="0"/>
            <w:vAlign w:val="center"/>
          </w:tcPr>
          <w:p w14:paraId="06A6223D">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0.5</w:t>
            </w:r>
          </w:p>
        </w:tc>
        <w:tc>
          <w:tcPr>
            <w:tcW w:w="4369" w:type="dxa"/>
            <w:gridSpan w:val="3"/>
            <w:noWrap w:val="0"/>
            <w:vAlign w:val="center"/>
          </w:tcPr>
          <w:p w14:paraId="77ED8DDE">
            <w:pPr>
              <w:spacing w:line="320" w:lineRule="exact"/>
              <w:rPr>
                <w:rFonts w:hint="eastAsia" w:ascii="宋体" w:hAnsi="宋体" w:cs="宋体"/>
                <w:sz w:val="28"/>
                <w:szCs w:val="24"/>
                <w:highlight w:val="none"/>
              </w:rPr>
            </w:pPr>
            <w:r>
              <w:rPr>
                <w:rFonts w:hint="eastAsia" w:ascii="宋体" w:hAnsi="宋体" w:cs="宋体"/>
                <w:sz w:val="28"/>
                <w:szCs w:val="24"/>
                <w:highlight w:val="none"/>
              </w:rPr>
              <w:t>重要技术人员检查时不在工地，并未按要求履行请假手续，扣0.5分。</w:t>
            </w:r>
          </w:p>
        </w:tc>
        <w:tc>
          <w:tcPr>
            <w:tcW w:w="582" w:type="dxa"/>
            <w:noWrap w:val="0"/>
            <w:vAlign w:val="center"/>
          </w:tcPr>
          <w:p w14:paraId="1C4B2A44">
            <w:pPr>
              <w:spacing w:line="320" w:lineRule="exact"/>
              <w:jc w:val="center"/>
              <w:rPr>
                <w:rFonts w:hint="eastAsia" w:ascii="宋体" w:hAnsi="宋体" w:cs="宋体"/>
                <w:sz w:val="28"/>
                <w:szCs w:val="24"/>
                <w:highlight w:val="none"/>
              </w:rPr>
            </w:pPr>
          </w:p>
        </w:tc>
        <w:tc>
          <w:tcPr>
            <w:tcW w:w="1090" w:type="dxa"/>
            <w:noWrap w:val="0"/>
            <w:vAlign w:val="center"/>
          </w:tcPr>
          <w:p w14:paraId="78165874">
            <w:pPr>
              <w:spacing w:line="320" w:lineRule="exact"/>
              <w:jc w:val="center"/>
              <w:rPr>
                <w:rFonts w:hint="eastAsia" w:ascii="宋体" w:hAnsi="宋体" w:cs="宋体"/>
                <w:sz w:val="28"/>
                <w:szCs w:val="24"/>
                <w:highlight w:val="none"/>
              </w:rPr>
            </w:pPr>
          </w:p>
        </w:tc>
      </w:tr>
      <w:tr w14:paraId="2770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trPr>
        <w:tc>
          <w:tcPr>
            <w:tcW w:w="679" w:type="dxa"/>
            <w:vMerge w:val="restart"/>
            <w:noWrap w:val="0"/>
            <w:vAlign w:val="top"/>
          </w:tcPr>
          <w:p w14:paraId="677F05D5">
            <w:pPr>
              <w:spacing w:line="320" w:lineRule="exact"/>
              <w:rPr>
                <w:rFonts w:hint="eastAsia" w:ascii="宋体" w:hAnsi="宋体" w:cs="宋体"/>
                <w:sz w:val="28"/>
                <w:szCs w:val="24"/>
                <w:highlight w:val="none"/>
              </w:rPr>
            </w:pPr>
          </w:p>
          <w:p w14:paraId="4FF9A0C3">
            <w:pPr>
              <w:spacing w:line="320" w:lineRule="exact"/>
              <w:rPr>
                <w:rFonts w:hint="eastAsia" w:ascii="宋体" w:hAnsi="宋体" w:cs="宋体"/>
                <w:sz w:val="28"/>
                <w:szCs w:val="24"/>
                <w:highlight w:val="none"/>
              </w:rPr>
            </w:pPr>
          </w:p>
          <w:p w14:paraId="497EFC96">
            <w:pPr>
              <w:spacing w:line="320" w:lineRule="exact"/>
              <w:rPr>
                <w:rFonts w:hint="eastAsia" w:ascii="宋体" w:hAnsi="宋体" w:cs="宋体"/>
                <w:sz w:val="28"/>
                <w:szCs w:val="24"/>
                <w:highlight w:val="none"/>
              </w:rPr>
            </w:pPr>
          </w:p>
          <w:p w14:paraId="3FFE0D64">
            <w:pPr>
              <w:spacing w:line="320" w:lineRule="exact"/>
              <w:rPr>
                <w:rFonts w:hint="eastAsia" w:ascii="宋体" w:hAnsi="宋体" w:cs="宋体"/>
                <w:sz w:val="28"/>
                <w:szCs w:val="24"/>
                <w:highlight w:val="none"/>
              </w:rPr>
            </w:pPr>
          </w:p>
          <w:p w14:paraId="1CC8E4A3">
            <w:pPr>
              <w:spacing w:line="320" w:lineRule="exact"/>
              <w:rPr>
                <w:rFonts w:hint="eastAsia" w:ascii="宋体" w:hAnsi="宋体" w:cs="宋体"/>
                <w:sz w:val="28"/>
                <w:szCs w:val="24"/>
                <w:highlight w:val="none"/>
              </w:rPr>
            </w:pPr>
          </w:p>
          <w:p w14:paraId="5A80F306">
            <w:pPr>
              <w:spacing w:line="320" w:lineRule="exact"/>
              <w:rPr>
                <w:rFonts w:hint="eastAsia" w:ascii="宋体" w:hAnsi="宋体" w:cs="宋体"/>
                <w:sz w:val="28"/>
                <w:szCs w:val="24"/>
                <w:highlight w:val="none"/>
              </w:rPr>
            </w:pPr>
          </w:p>
          <w:p w14:paraId="66674E6A">
            <w:pPr>
              <w:spacing w:line="320" w:lineRule="exact"/>
              <w:rPr>
                <w:rFonts w:hint="eastAsia" w:ascii="宋体" w:hAnsi="宋体" w:cs="宋体"/>
                <w:sz w:val="28"/>
                <w:szCs w:val="24"/>
                <w:highlight w:val="none"/>
              </w:rPr>
            </w:pPr>
          </w:p>
          <w:p w14:paraId="797945B6">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资料管理</w:t>
            </w:r>
          </w:p>
        </w:tc>
        <w:tc>
          <w:tcPr>
            <w:tcW w:w="1913" w:type="dxa"/>
            <w:gridSpan w:val="2"/>
            <w:noWrap w:val="0"/>
            <w:vAlign w:val="center"/>
          </w:tcPr>
          <w:p w14:paraId="603CC31F">
            <w:pPr>
              <w:spacing w:line="320" w:lineRule="exact"/>
              <w:rPr>
                <w:rFonts w:hint="eastAsia" w:ascii="宋体" w:hAnsi="宋体" w:cs="宋体"/>
                <w:sz w:val="28"/>
                <w:szCs w:val="24"/>
                <w:highlight w:val="none"/>
              </w:rPr>
            </w:pPr>
            <w:r>
              <w:rPr>
                <w:rFonts w:hint="eastAsia" w:ascii="宋体" w:hAnsi="宋体" w:cs="宋体"/>
                <w:sz w:val="28"/>
                <w:szCs w:val="24"/>
                <w:highlight w:val="none"/>
              </w:rPr>
              <w:t>1.开工准备</w:t>
            </w:r>
          </w:p>
        </w:tc>
        <w:tc>
          <w:tcPr>
            <w:tcW w:w="655" w:type="dxa"/>
            <w:noWrap w:val="0"/>
            <w:vAlign w:val="center"/>
          </w:tcPr>
          <w:p w14:paraId="62EE3BE7">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2.5</w:t>
            </w:r>
          </w:p>
        </w:tc>
        <w:tc>
          <w:tcPr>
            <w:tcW w:w="4369" w:type="dxa"/>
            <w:gridSpan w:val="3"/>
            <w:noWrap w:val="0"/>
            <w:vAlign w:val="center"/>
          </w:tcPr>
          <w:p w14:paraId="0813081F">
            <w:pPr>
              <w:spacing w:line="320" w:lineRule="exact"/>
              <w:rPr>
                <w:rFonts w:hint="eastAsia" w:ascii="宋体" w:hAnsi="宋体" w:cs="宋体"/>
                <w:sz w:val="28"/>
                <w:szCs w:val="24"/>
                <w:highlight w:val="none"/>
              </w:rPr>
            </w:pPr>
            <w:r>
              <w:rPr>
                <w:rFonts w:hint="eastAsia" w:ascii="宋体" w:hAnsi="宋体" w:cs="宋体"/>
                <w:sz w:val="28"/>
                <w:szCs w:val="24"/>
                <w:highlight w:val="none"/>
              </w:rPr>
              <w:t>1.无审批的开工报告，扣0.5分。</w:t>
            </w:r>
            <w:r>
              <w:rPr>
                <w:rFonts w:hint="eastAsia" w:ascii="宋体" w:hAnsi="宋体" w:cs="宋体"/>
                <w:sz w:val="28"/>
                <w:szCs w:val="24"/>
                <w:highlight w:val="none"/>
              </w:rPr>
              <w:br w:type="textWrapping"/>
            </w:r>
            <w:r>
              <w:rPr>
                <w:rFonts w:hint="eastAsia" w:ascii="宋体" w:hAnsi="宋体" w:cs="宋体"/>
                <w:sz w:val="28"/>
                <w:szCs w:val="24"/>
                <w:highlight w:val="none"/>
              </w:rPr>
              <w:t>2.无经审批的施工组织设计，扣0.5分。</w:t>
            </w:r>
            <w:r>
              <w:rPr>
                <w:rFonts w:hint="eastAsia" w:ascii="宋体" w:hAnsi="宋体" w:cs="宋体"/>
                <w:sz w:val="28"/>
                <w:szCs w:val="24"/>
                <w:highlight w:val="none"/>
              </w:rPr>
              <w:br w:type="textWrapping"/>
            </w:r>
            <w:r>
              <w:rPr>
                <w:rFonts w:hint="eastAsia" w:ascii="宋体" w:hAnsi="宋体" w:cs="宋体"/>
                <w:sz w:val="28"/>
                <w:szCs w:val="24"/>
                <w:highlight w:val="none"/>
              </w:rPr>
              <w:t>3.无现场组织机构及主要人员任命文件及资质证明，扣0.5分。</w:t>
            </w:r>
            <w:r>
              <w:rPr>
                <w:rFonts w:hint="eastAsia" w:ascii="宋体" w:hAnsi="宋体" w:cs="宋体"/>
                <w:sz w:val="28"/>
                <w:szCs w:val="24"/>
                <w:highlight w:val="none"/>
              </w:rPr>
              <w:br w:type="textWrapping"/>
            </w:r>
            <w:r>
              <w:rPr>
                <w:rFonts w:hint="eastAsia" w:ascii="宋体" w:hAnsi="宋体" w:cs="宋体"/>
                <w:sz w:val="28"/>
                <w:szCs w:val="24"/>
                <w:highlight w:val="none"/>
              </w:rPr>
              <w:t>4.无无经审批的施工总进度计划，扣0.5分。</w:t>
            </w:r>
            <w:r>
              <w:rPr>
                <w:rFonts w:hint="eastAsia" w:ascii="宋体" w:hAnsi="宋体" w:cs="宋体"/>
                <w:sz w:val="28"/>
                <w:szCs w:val="24"/>
                <w:highlight w:val="none"/>
              </w:rPr>
              <w:br w:type="textWrapping"/>
            </w:r>
            <w:r>
              <w:rPr>
                <w:rFonts w:hint="eastAsia" w:ascii="宋体" w:hAnsi="宋体" w:cs="宋体"/>
                <w:sz w:val="28"/>
                <w:szCs w:val="24"/>
                <w:highlight w:val="none"/>
              </w:rPr>
              <w:t>5.施工测量成果不全，扣0.5分。</w:t>
            </w:r>
          </w:p>
        </w:tc>
        <w:tc>
          <w:tcPr>
            <w:tcW w:w="582" w:type="dxa"/>
            <w:noWrap w:val="0"/>
            <w:vAlign w:val="center"/>
          </w:tcPr>
          <w:p w14:paraId="496DCE50">
            <w:pPr>
              <w:spacing w:line="320" w:lineRule="exact"/>
              <w:jc w:val="center"/>
              <w:rPr>
                <w:rFonts w:hint="eastAsia" w:ascii="宋体" w:hAnsi="宋体" w:cs="宋体"/>
                <w:sz w:val="28"/>
                <w:szCs w:val="24"/>
                <w:highlight w:val="none"/>
              </w:rPr>
            </w:pPr>
          </w:p>
        </w:tc>
        <w:tc>
          <w:tcPr>
            <w:tcW w:w="1090" w:type="dxa"/>
            <w:noWrap w:val="0"/>
            <w:vAlign w:val="center"/>
          </w:tcPr>
          <w:p w14:paraId="642DC10B">
            <w:pPr>
              <w:spacing w:line="320" w:lineRule="exact"/>
              <w:jc w:val="center"/>
              <w:rPr>
                <w:rFonts w:hint="eastAsia" w:ascii="宋体" w:hAnsi="宋体" w:cs="宋体"/>
                <w:sz w:val="28"/>
                <w:szCs w:val="24"/>
                <w:highlight w:val="none"/>
              </w:rPr>
            </w:pPr>
          </w:p>
        </w:tc>
      </w:tr>
      <w:tr w14:paraId="386C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top"/>
          </w:tcPr>
          <w:p w14:paraId="088CBD2B">
            <w:pPr>
              <w:spacing w:line="320" w:lineRule="exact"/>
              <w:rPr>
                <w:rFonts w:hint="eastAsia" w:ascii="宋体" w:hAnsi="宋体" w:cs="宋体"/>
                <w:sz w:val="28"/>
                <w:szCs w:val="24"/>
                <w:highlight w:val="none"/>
              </w:rPr>
            </w:pPr>
          </w:p>
        </w:tc>
        <w:tc>
          <w:tcPr>
            <w:tcW w:w="1913" w:type="dxa"/>
            <w:gridSpan w:val="2"/>
            <w:noWrap w:val="0"/>
            <w:vAlign w:val="center"/>
          </w:tcPr>
          <w:p w14:paraId="6E1FB52E">
            <w:pPr>
              <w:spacing w:line="320" w:lineRule="exact"/>
              <w:rPr>
                <w:rFonts w:hint="eastAsia" w:ascii="宋体" w:hAnsi="宋体" w:cs="宋体"/>
                <w:sz w:val="28"/>
                <w:szCs w:val="24"/>
                <w:highlight w:val="none"/>
              </w:rPr>
            </w:pPr>
            <w:r>
              <w:rPr>
                <w:rFonts w:hint="eastAsia" w:ascii="宋体" w:hAnsi="宋体" w:cs="宋体"/>
                <w:sz w:val="28"/>
                <w:szCs w:val="24"/>
                <w:highlight w:val="none"/>
              </w:rPr>
              <w:t>2.过程控制资料</w:t>
            </w:r>
          </w:p>
        </w:tc>
        <w:tc>
          <w:tcPr>
            <w:tcW w:w="655" w:type="dxa"/>
            <w:noWrap w:val="0"/>
            <w:vAlign w:val="center"/>
          </w:tcPr>
          <w:p w14:paraId="40437DE6">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1.5</w:t>
            </w:r>
          </w:p>
        </w:tc>
        <w:tc>
          <w:tcPr>
            <w:tcW w:w="4369" w:type="dxa"/>
            <w:gridSpan w:val="3"/>
            <w:noWrap w:val="0"/>
            <w:vAlign w:val="center"/>
          </w:tcPr>
          <w:p w14:paraId="1C2D515D">
            <w:pPr>
              <w:spacing w:line="320" w:lineRule="exact"/>
              <w:rPr>
                <w:rFonts w:hint="eastAsia" w:ascii="宋体" w:hAnsi="宋体" w:cs="宋体"/>
                <w:sz w:val="28"/>
                <w:szCs w:val="24"/>
                <w:highlight w:val="none"/>
              </w:rPr>
            </w:pPr>
            <w:r>
              <w:rPr>
                <w:rFonts w:hint="eastAsia" w:ascii="宋体" w:hAnsi="宋体" w:cs="宋体"/>
                <w:sz w:val="28"/>
                <w:szCs w:val="24"/>
                <w:highlight w:val="none"/>
              </w:rPr>
              <w:t>1.无定验线报告，扣0.5分。</w:t>
            </w:r>
            <w:r>
              <w:rPr>
                <w:rFonts w:hint="eastAsia" w:ascii="宋体" w:hAnsi="宋体" w:cs="宋体"/>
                <w:sz w:val="28"/>
                <w:szCs w:val="24"/>
                <w:highlight w:val="none"/>
              </w:rPr>
              <w:br w:type="textWrapping"/>
            </w:r>
            <w:r>
              <w:rPr>
                <w:rFonts w:hint="eastAsia" w:ascii="宋体" w:hAnsi="宋体" w:cs="宋体"/>
                <w:sz w:val="28"/>
                <w:szCs w:val="24"/>
                <w:highlight w:val="none"/>
              </w:rPr>
              <w:t>2.工程有关质量检测和功能性试验文件资料不全，存在错误，扣0.5分。</w:t>
            </w:r>
            <w:r>
              <w:rPr>
                <w:rFonts w:hint="eastAsia" w:ascii="宋体" w:hAnsi="宋体" w:cs="宋体"/>
                <w:sz w:val="28"/>
                <w:szCs w:val="24"/>
                <w:highlight w:val="none"/>
              </w:rPr>
              <w:br w:type="textWrapping"/>
            </w:r>
            <w:r>
              <w:rPr>
                <w:rFonts w:hint="eastAsia" w:ascii="宋体" w:hAnsi="宋体" w:cs="宋体"/>
                <w:sz w:val="28"/>
                <w:szCs w:val="24"/>
                <w:highlight w:val="none"/>
              </w:rPr>
              <w:t>3.日常监督整改通知单，无整改回复，扣0.5分。</w:t>
            </w:r>
          </w:p>
        </w:tc>
        <w:tc>
          <w:tcPr>
            <w:tcW w:w="582" w:type="dxa"/>
            <w:noWrap w:val="0"/>
            <w:vAlign w:val="center"/>
          </w:tcPr>
          <w:p w14:paraId="040CE3AB">
            <w:pPr>
              <w:spacing w:line="320" w:lineRule="exact"/>
              <w:jc w:val="center"/>
              <w:rPr>
                <w:rFonts w:hint="eastAsia" w:ascii="宋体" w:hAnsi="宋体" w:cs="宋体"/>
                <w:sz w:val="28"/>
                <w:szCs w:val="24"/>
                <w:highlight w:val="none"/>
              </w:rPr>
            </w:pPr>
          </w:p>
        </w:tc>
        <w:tc>
          <w:tcPr>
            <w:tcW w:w="1090" w:type="dxa"/>
            <w:noWrap w:val="0"/>
            <w:vAlign w:val="center"/>
          </w:tcPr>
          <w:p w14:paraId="6192A5B2">
            <w:pPr>
              <w:spacing w:line="320" w:lineRule="exact"/>
              <w:jc w:val="center"/>
              <w:rPr>
                <w:rFonts w:hint="eastAsia" w:ascii="宋体" w:hAnsi="宋体" w:cs="宋体"/>
                <w:sz w:val="28"/>
                <w:szCs w:val="24"/>
                <w:highlight w:val="none"/>
              </w:rPr>
            </w:pPr>
          </w:p>
        </w:tc>
      </w:tr>
      <w:tr w14:paraId="3B5A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top"/>
          </w:tcPr>
          <w:p w14:paraId="77FF3C4A">
            <w:pPr>
              <w:spacing w:line="320" w:lineRule="exact"/>
              <w:rPr>
                <w:rFonts w:hint="eastAsia" w:ascii="宋体" w:hAnsi="宋体" w:cs="宋体"/>
                <w:sz w:val="28"/>
                <w:szCs w:val="24"/>
                <w:highlight w:val="none"/>
              </w:rPr>
            </w:pPr>
          </w:p>
        </w:tc>
        <w:tc>
          <w:tcPr>
            <w:tcW w:w="1913" w:type="dxa"/>
            <w:gridSpan w:val="2"/>
            <w:noWrap w:val="0"/>
            <w:vAlign w:val="center"/>
          </w:tcPr>
          <w:p w14:paraId="4C34E0FD">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3.工程评定及验收资料</w:t>
            </w:r>
          </w:p>
        </w:tc>
        <w:tc>
          <w:tcPr>
            <w:tcW w:w="655" w:type="dxa"/>
            <w:noWrap w:val="0"/>
            <w:vAlign w:val="center"/>
          </w:tcPr>
          <w:p w14:paraId="58F8ABC6">
            <w:pPr>
              <w:spacing w:line="320" w:lineRule="exact"/>
              <w:jc w:val="center"/>
              <w:rPr>
                <w:rFonts w:hint="eastAsia" w:ascii="宋体" w:hAnsi="宋体" w:cs="宋体"/>
                <w:sz w:val="28"/>
                <w:szCs w:val="24"/>
                <w:highlight w:val="none"/>
              </w:rPr>
            </w:pPr>
            <w:r>
              <w:rPr>
                <w:rFonts w:hint="eastAsia" w:ascii="宋体" w:hAnsi="宋体" w:cs="宋体"/>
                <w:sz w:val="28"/>
                <w:szCs w:val="24"/>
                <w:highlight w:val="none"/>
              </w:rPr>
              <w:t>3.5</w:t>
            </w:r>
          </w:p>
          <w:p w14:paraId="7AD3AE07">
            <w:pPr>
              <w:pStyle w:val="6"/>
              <w:spacing w:line="320" w:lineRule="exact"/>
              <w:ind w:firstLine="560"/>
              <w:rPr>
                <w:rFonts w:hint="eastAsia" w:ascii="宋体" w:hAnsi="宋体" w:cs="宋体"/>
                <w:sz w:val="28"/>
                <w:szCs w:val="28"/>
                <w:highlight w:val="none"/>
              </w:rPr>
            </w:pPr>
          </w:p>
        </w:tc>
        <w:tc>
          <w:tcPr>
            <w:tcW w:w="4369" w:type="dxa"/>
            <w:gridSpan w:val="3"/>
            <w:noWrap w:val="0"/>
            <w:vAlign w:val="center"/>
          </w:tcPr>
          <w:p w14:paraId="57CC6F5A">
            <w:pPr>
              <w:spacing w:line="320" w:lineRule="exact"/>
              <w:rPr>
                <w:rFonts w:hint="eastAsia" w:ascii="宋体" w:hAnsi="宋体" w:cs="宋体"/>
                <w:sz w:val="28"/>
                <w:szCs w:val="24"/>
                <w:highlight w:val="none"/>
              </w:rPr>
            </w:pPr>
            <w:r>
              <w:rPr>
                <w:rFonts w:hint="eastAsia" w:ascii="宋体" w:hAnsi="宋体" w:cs="宋体"/>
                <w:sz w:val="28"/>
                <w:szCs w:val="24"/>
                <w:highlight w:val="none"/>
              </w:rPr>
              <w:t>1.无竣工验收报告，扣0.5分。</w:t>
            </w:r>
            <w:r>
              <w:rPr>
                <w:rFonts w:hint="eastAsia" w:ascii="宋体" w:hAnsi="宋体" w:cs="宋体"/>
                <w:sz w:val="28"/>
                <w:szCs w:val="24"/>
                <w:highlight w:val="none"/>
              </w:rPr>
              <w:br w:type="textWrapping"/>
            </w:r>
            <w:r>
              <w:rPr>
                <w:rFonts w:hint="eastAsia" w:ascii="宋体" w:hAnsi="宋体" w:cs="宋体"/>
                <w:sz w:val="28"/>
                <w:szCs w:val="24"/>
                <w:highlight w:val="none"/>
              </w:rPr>
              <w:t>2.无施工单位竣工验收自评报告，扣0.5分。</w:t>
            </w:r>
            <w:r>
              <w:rPr>
                <w:rFonts w:hint="eastAsia" w:ascii="宋体" w:hAnsi="宋体" w:cs="宋体"/>
                <w:sz w:val="28"/>
                <w:szCs w:val="24"/>
                <w:highlight w:val="none"/>
              </w:rPr>
              <w:br w:type="textWrapping"/>
            </w:r>
            <w:r>
              <w:rPr>
                <w:rFonts w:hint="eastAsia" w:ascii="宋体" w:hAnsi="宋体" w:cs="宋体"/>
                <w:sz w:val="28"/>
                <w:szCs w:val="24"/>
                <w:highlight w:val="none"/>
              </w:rPr>
              <w:t>3.无监理单位工程质量评估报告，扣0.5分。</w:t>
            </w:r>
            <w:r>
              <w:rPr>
                <w:rFonts w:hint="eastAsia" w:ascii="宋体" w:hAnsi="宋体" w:cs="宋体"/>
                <w:sz w:val="28"/>
                <w:szCs w:val="24"/>
                <w:highlight w:val="none"/>
              </w:rPr>
              <w:br w:type="textWrapping"/>
            </w:r>
            <w:r>
              <w:rPr>
                <w:rFonts w:hint="eastAsia" w:ascii="宋体" w:hAnsi="宋体" w:cs="宋体"/>
                <w:sz w:val="28"/>
                <w:szCs w:val="24"/>
                <w:highlight w:val="none"/>
              </w:rPr>
              <w:t>4.无勘察单位工程质量检查报告，扣0.5分。</w:t>
            </w:r>
          </w:p>
          <w:p w14:paraId="60564EC5">
            <w:pPr>
              <w:spacing w:line="320" w:lineRule="exact"/>
              <w:rPr>
                <w:rFonts w:hint="eastAsia" w:ascii="宋体" w:hAnsi="宋体" w:cs="宋体"/>
                <w:sz w:val="28"/>
                <w:szCs w:val="24"/>
                <w:highlight w:val="none"/>
              </w:rPr>
            </w:pPr>
            <w:r>
              <w:rPr>
                <w:rFonts w:hint="eastAsia" w:ascii="宋体" w:hAnsi="宋体" w:cs="宋体"/>
                <w:sz w:val="28"/>
                <w:szCs w:val="24"/>
                <w:highlight w:val="none"/>
              </w:rPr>
              <w:t>5.无设计单位工程质量检查报告，扣0.5分。</w:t>
            </w:r>
            <w:r>
              <w:rPr>
                <w:rFonts w:hint="eastAsia" w:ascii="宋体" w:hAnsi="宋体" w:cs="宋体"/>
                <w:sz w:val="28"/>
                <w:szCs w:val="24"/>
                <w:highlight w:val="none"/>
              </w:rPr>
              <w:br w:type="textWrapping"/>
            </w:r>
            <w:r>
              <w:rPr>
                <w:rFonts w:hint="eastAsia" w:ascii="宋体" w:hAnsi="宋体" w:cs="宋体"/>
                <w:sz w:val="28"/>
                <w:szCs w:val="24"/>
                <w:highlight w:val="none"/>
              </w:rPr>
              <w:t>6.无竣工验收证书，扣0.5分。</w:t>
            </w:r>
            <w:r>
              <w:rPr>
                <w:rFonts w:hint="eastAsia" w:ascii="宋体" w:hAnsi="宋体" w:cs="宋体"/>
                <w:sz w:val="28"/>
                <w:szCs w:val="24"/>
                <w:highlight w:val="none"/>
              </w:rPr>
              <w:br w:type="textWrapping"/>
            </w:r>
            <w:r>
              <w:rPr>
                <w:rFonts w:hint="eastAsia" w:ascii="宋体" w:hAnsi="宋体" w:cs="宋体"/>
                <w:sz w:val="28"/>
                <w:szCs w:val="24"/>
                <w:highlight w:val="none"/>
              </w:rPr>
              <w:t>7.无施工单位签署的工程质量保修书，扣0.5分。</w:t>
            </w:r>
          </w:p>
        </w:tc>
        <w:tc>
          <w:tcPr>
            <w:tcW w:w="582" w:type="dxa"/>
            <w:noWrap w:val="0"/>
            <w:vAlign w:val="center"/>
          </w:tcPr>
          <w:p w14:paraId="2A3153C2">
            <w:pPr>
              <w:spacing w:line="320" w:lineRule="exact"/>
              <w:jc w:val="center"/>
              <w:rPr>
                <w:rFonts w:hint="eastAsia" w:ascii="宋体" w:hAnsi="宋体" w:cs="宋体"/>
                <w:sz w:val="28"/>
                <w:szCs w:val="24"/>
                <w:highlight w:val="none"/>
              </w:rPr>
            </w:pPr>
          </w:p>
        </w:tc>
        <w:tc>
          <w:tcPr>
            <w:tcW w:w="1090" w:type="dxa"/>
            <w:noWrap w:val="0"/>
            <w:vAlign w:val="center"/>
          </w:tcPr>
          <w:p w14:paraId="2AF06295">
            <w:pPr>
              <w:spacing w:line="320" w:lineRule="exact"/>
              <w:jc w:val="center"/>
              <w:rPr>
                <w:rFonts w:hint="eastAsia" w:ascii="宋体" w:hAnsi="宋体" w:cs="宋体"/>
                <w:sz w:val="28"/>
                <w:szCs w:val="24"/>
                <w:highlight w:val="none"/>
              </w:rPr>
            </w:pPr>
          </w:p>
        </w:tc>
      </w:tr>
      <w:tr w14:paraId="5B0D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gridSpan w:val="3"/>
            <w:noWrap w:val="0"/>
            <w:vAlign w:val="top"/>
          </w:tcPr>
          <w:p w14:paraId="726A83C5">
            <w:pPr>
              <w:spacing w:line="32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6696" w:type="dxa"/>
            <w:gridSpan w:val="6"/>
            <w:noWrap w:val="0"/>
            <w:vAlign w:val="center"/>
          </w:tcPr>
          <w:p w14:paraId="66D303A9">
            <w:pPr>
              <w:spacing w:line="320" w:lineRule="exact"/>
              <w:jc w:val="center"/>
              <w:rPr>
                <w:rFonts w:hint="eastAsia" w:ascii="宋体" w:hAnsi="宋体" w:cs="宋体"/>
                <w:sz w:val="28"/>
                <w:szCs w:val="24"/>
                <w:highlight w:val="none"/>
              </w:rPr>
            </w:pPr>
          </w:p>
        </w:tc>
      </w:tr>
      <w:tr w14:paraId="6075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9"/>
            <w:noWrap w:val="0"/>
            <w:vAlign w:val="top"/>
          </w:tcPr>
          <w:p w14:paraId="3448283F">
            <w:pPr>
              <w:spacing w:line="320" w:lineRule="exact"/>
              <w:rPr>
                <w:rFonts w:hint="eastAsia" w:ascii="宋体" w:hAnsi="宋体" w:cs="宋体"/>
                <w:sz w:val="28"/>
                <w:szCs w:val="24"/>
                <w:highlight w:val="none"/>
              </w:rPr>
            </w:pPr>
            <w:r>
              <w:rPr>
                <w:rFonts w:hint="eastAsia" w:ascii="宋体" w:hAnsi="宋体" w:cs="宋体"/>
                <w:b/>
                <w:bCs/>
                <w:sz w:val="28"/>
                <w:szCs w:val="24"/>
                <w:highlight w:val="none"/>
              </w:rPr>
              <w:t>工程管理部签字：                                 日期：</w:t>
            </w:r>
          </w:p>
        </w:tc>
      </w:tr>
    </w:tbl>
    <w:p w14:paraId="1AEA56DE">
      <w:pPr>
        <w:spacing w:line="480" w:lineRule="exact"/>
        <w:rPr>
          <w:rFonts w:hint="eastAsia" w:ascii="宋体" w:hAnsi="宋体" w:cs="宋体"/>
          <w:sz w:val="28"/>
          <w:szCs w:val="24"/>
          <w:highlight w:val="none"/>
        </w:rPr>
      </w:pPr>
    </w:p>
    <w:p w14:paraId="6DEC8419">
      <w:pPr>
        <w:spacing w:line="480" w:lineRule="exact"/>
        <w:rPr>
          <w:rFonts w:hint="eastAsia" w:ascii="宋体" w:hAnsi="宋体" w:cs="宋体"/>
          <w:sz w:val="28"/>
          <w:szCs w:val="24"/>
          <w:highlight w:val="none"/>
        </w:rPr>
      </w:pPr>
    </w:p>
    <w:p w14:paraId="35715CEE">
      <w:pPr>
        <w:spacing w:line="480" w:lineRule="exact"/>
        <w:rPr>
          <w:rFonts w:hint="eastAsia" w:ascii="宋体" w:hAnsi="宋体" w:cs="宋体"/>
          <w:sz w:val="28"/>
          <w:szCs w:val="24"/>
          <w:highlight w:val="none"/>
        </w:rPr>
      </w:pPr>
    </w:p>
    <w:p w14:paraId="096DE998">
      <w:pPr>
        <w:spacing w:line="480" w:lineRule="exact"/>
        <w:rPr>
          <w:rFonts w:hint="eastAsia" w:ascii="宋体" w:hAnsi="宋体" w:cs="宋体"/>
          <w:sz w:val="28"/>
          <w:szCs w:val="24"/>
          <w:highlight w:val="none"/>
        </w:rPr>
      </w:pPr>
    </w:p>
    <w:p w14:paraId="7BCE67EF">
      <w:pPr>
        <w:spacing w:line="480" w:lineRule="exact"/>
        <w:rPr>
          <w:rFonts w:hint="eastAsia" w:ascii="宋体" w:hAnsi="宋体" w:cs="宋体"/>
          <w:sz w:val="28"/>
          <w:szCs w:val="24"/>
          <w:highlight w:val="none"/>
        </w:rPr>
      </w:pPr>
    </w:p>
    <w:p w14:paraId="370CED44">
      <w:pPr>
        <w:pStyle w:val="5"/>
        <w:rPr>
          <w:rFonts w:hint="eastAsia"/>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248"/>
        <w:gridCol w:w="289"/>
        <w:gridCol w:w="636"/>
        <w:gridCol w:w="1743"/>
        <w:gridCol w:w="2256"/>
        <w:gridCol w:w="628"/>
        <w:gridCol w:w="576"/>
        <w:gridCol w:w="1065"/>
      </w:tblGrid>
      <w:tr w14:paraId="630E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18" w:type="dxa"/>
            <w:gridSpan w:val="2"/>
            <w:noWrap w:val="0"/>
            <w:vAlign w:val="top"/>
          </w:tcPr>
          <w:p w14:paraId="70C89013">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施工单位名称</w:t>
            </w:r>
          </w:p>
        </w:tc>
        <w:tc>
          <w:tcPr>
            <w:tcW w:w="2617" w:type="dxa"/>
            <w:gridSpan w:val="3"/>
            <w:noWrap w:val="0"/>
            <w:vAlign w:val="top"/>
          </w:tcPr>
          <w:p w14:paraId="268FF978">
            <w:pPr>
              <w:spacing w:line="300" w:lineRule="exact"/>
              <w:jc w:val="center"/>
              <w:rPr>
                <w:rFonts w:hint="eastAsia" w:ascii="宋体" w:hAnsi="宋体" w:cs="宋体"/>
                <w:b/>
                <w:bCs/>
                <w:sz w:val="28"/>
                <w:szCs w:val="24"/>
                <w:highlight w:val="none"/>
              </w:rPr>
            </w:pPr>
          </w:p>
        </w:tc>
        <w:tc>
          <w:tcPr>
            <w:tcW w:w="2256" w:type="dxa"/>
            <w:noWrap w:val="0"/>
            <w:vAlign w:val="top"/>
          </w:tcPr>
          <w:p w14:paraId="1FB32D91">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269" w:type="dxa"/>
            <w:gridSpan w:val="3"/>
            <w:noWrap w:val="0"/>
            <w:vAlign w:val="top"/>
          </w:tcPr>
          <w:p w14:paraId="53CC2873">
            <w:pPr>
              <w:spacing w:line="300" w:lineRule="exact"/>
              <w:jc w:val="center"/>
              <w:rPr>
                <w:rFonts w:hint="eastAsia" w:ascii="宋体" w:hAnsi="宋体" w:cs="宋体"/>
                <w:b/>
                <w:bCs/>
                <w:sz w:val="28"/>
                <w:szCs w:val="24"/>
                <w:highlight w:val="none"/>
              </w:rPr>
            </w:pPr>
          </w:p>
        </w:tc>
      </w:tr>
      <w:tr w14:paraId="4C96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92" w:type="dxa"/>
            <w:gridSpan w:val="4"/>
            <w:noWrap w:val="0"/>
            <w:vAlign w:val="top"/>
          </w:tcPr>
          <w:p w14:paraId="6E39BE08">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考核部门</w:t>
            </w:r>
          </w:p>
        </w:tc>
        <w:tc>
          <w:tcPr>
            <w:tcW w:w="6268" w:type="dxa"/>
            <w:gridSpan w:val="5"/>
            <w:noWrap w:val="0"/>
            <w:vAlign w:val="center"/>
          </w:tcPr>
          <w:p w14:paraId="258A4D8F">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安全质量中心（40分）</w:t>
            </w:r>
          </w:p>
        </w:tc>
      </w:tr>
      <w:tr w14:paraId="09BA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57A81134">
            <w:pPr>
              <w:spacing w:line="300" w:lineRule="exact"/>
              <w:rPr>
                <w:rFonts w:hint="eastAsia" w:ascii="宋体" w:hAnsi="宋体" w:cs="宋体"/>
                <w:sz w:val="28"/>
                <w:szCs w:val="24"/>
                <w:highlight w:val="none"/>
              </w:rPr>
            </w:pPr>
            <w:r>
              <w:rPr>
                <w:rFonts w:hint="eastAsia" w:ascii="宋体" w:hAnsi="宋体" w:cs="宋体"/>
                <w:sz w:val="28"/>
                <w:szCs w:val="24"/>
                <w:highlight w:val="none"/>
              </w:rPr>
              <w:t>考核项目</w:t>
            </w:r>
          </w:p>
        </w:tc>
        <w:tc>
          <w:tcPr>
            <w:tcW w:w="1537" w:type="dxa"/>
            <w:gridSpan w:val="2"/>
            <w:noWrap w:val="0"/>
            <w:vAlign w:val="center"/>
          </w:tcPr>
          <w:p w14:paraId="2BF9314C">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考核内容</w:t>
            </w:r>
          </w:p>
        </w:tc>
        <w:tc>
          <w:tcPr>
            <w:tcW w:w="585" w:type="dxa"/>
            <w:noWrap w:val="0"/>
            <w:vAlign w:val="center"/>
          </w:tcPr>
          <w:p w14:paraId="35A76936">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分值</w:t>
            </w:r>
          </w:p>
        </w:tc>
        <w:tc>
          <w:tcPr>
            <w:tcW w:w="4627" w:type="dxa"/>
            <w:gridSpan w:val="3"/>
            <w:noWrap w:val="0"/>
            <w:vAlign w:val="center"/>
          </w:tcPr>
          <w:p w14:paraId="3C14CEC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评分标准</w:t>
            </w:r>
          </w:p>
        </w:tc>
        <w:tc>
          <w:tcPr>
            <w:tcW w:w="576" w:type="dxa"/>
            <w:noWrap w:val="0"/>
            <w:vAlign w:val="center"/>
          </w:tcPr>
          <w:p w14:paraId="4E68F06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得分</w:t>
            </w:r>
          </w:p>
        </w:tc>
        <w:tc>
          <w:tcPr>
            <w:tcW w:w="1065" w:type="dxa"/>
            <w:noWrap w:val="0"/>
            <w:vAlign w:val="center"/>
          </w:tcPr>
          <w:p w14:paraId="64D96E0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扣分原因</w:t>
            </w:r>
          </w:p>
        </w:tc>
      </w:tr>
      <w:tr w14:paraId="4E93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restart"/>
            <w:noWrap w:val="0"/>
            <w:vAlign w:val="center"/>
          </w:tcPr>
          <w:p w14:paraId="31786DA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质量控制</w:t>
            </w:r>
          </w:p>
        </w:tc>
        <w:tc>
          <w:tcPr>
            <w:tcW w:w="1537" w:type="dxa"/>
            <w:gridSpan w:val="2"/>
            <w:noWrap w:val="0"/>
            <w:vAlign w:val="center"/>
          </w:tcPr>
          <w:p w14:paraId="1726AE0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施工组织设计及施工方案</w:t>
            </w:r>
          </w:p>
        </w:tc>
        <w:tc>
          <w:tcPr>
            <w:tcW w:w="585" w:type="dxa"/>
            <w:noWrap w:val="0"/>
            <w:vAlign w:val="center"/>
          </w:tcPr>
          <w:p w14:paraId="651569FA">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627" w:type="dxa"/>
            <w:gridSpan w:val="3"/>
            <w:noWrap w:val="0"/>
            <w:vAlign w:val="center"/>
          </w:tcPr>
          <w:p w14:paraId="52E6253A">
            <w:pPr>
              <w:tabs>
                <w:tab w:val="left" w:pos="945"/>
              </w:tabs>
              <w:autoSpaceDE w:val="0"/>
              <w:autoSpaceDN w:val="0"/>
              <w:adjustRightInd w:val="0"/>
              <w:spacing w:line="360" w:lineRule="auto"/>
              <w:rPr>
                <w:rFonts w:hint="eastAsia" w:ascii="宋体" w:hAnsi="宋体" w:cs="宋体"/>
                <w:sz w:val="28"/>
                <w:szCs w:val="24"/>
                <w:highlight w:val="none"/>
              </w:rPr>
            </w:pPr>
            <w:r>
              <w:rPr>
                <w:rFonts w:hint="eastAsia" w:ascii="宋体" w:hAnsi="宋体" w:cs="宋体"/>
                <w:sz w:val="28"/>
                <w:szCs w:val="24"/>
                <w:highlight w:val="none"/>
              </w:rPr>
              <w:t>1.施工组织设计、施工方案，未按规定报审，扣1分。</w:t>
            </w:r>
          </w:p>
          <w:p w14:paraId="1841460B">
            <w:pPr>
              <w:tabs>
                <w:tab w:val="left" w:pos="945"/>
              </w:tabs>
              <w:autoSpaceDE w:val="0"/>
              <w:autoSpaceDN w:val="0"/>
              <w:adjustRightInd w:val="0"/>
              <w:spacing w:line="360" w:lineRule="auto"/>
              <w:rPr>
                <w:rFonts w:hint="eastAsia" w:ascii="宋体" w:hAnsi="宋体" w:cs="宋体"/>
                <w:sz w:val="28"/>
                <w:szCs w:val="24"/>
                <w:highlight w:val="none"/>
              </w:rPr>
            </w:pPr>
            <w:r>
              <w:rPr>
                <w:rFonts w:hint="eastAsia" w:ascii="宋体" w:hAnsi="宋体" w:cs="宋体"/>
                <w:sz w:val="28"/>
                <w:szCs w:val="24"/>
                <w:highlight w:val="none"/>
              </w:rPr>
              <w:t>2.应编制专项方案的分部、分项工程，未按要求编制，需专家论证的，未组织专家论证，扣1分。</w:t>
            </w:r>
          </w:p>
          <w:p w14:paraId="373BE950">
            <w:pPr>
              <w:pStyle w:val="6"/>
              <w:ind w:firstLine="560"/>
              <w:rPr>
                <w:rFonts w:hint="eastAsia" w:ascii="宋体" w:hAnsi="宋体" w:cs="宋体"/>
                <w:sz w:val="28"/>
                <w:szCs w:val="28"/>
                <w:highlight w:val="none"/>
              </w:rPr>
            </w:pPr>
            <w:r>
              <w:rPr>
                <w:rFonts w:hint="eastAsia" w:ascii="宋体" w:hAnsi="宋体" w:cs="宋体"/>
                <w:sz w:val="28"/>
                <w:szCs w:val="28"/>
                <w:highlight w:val="none"/>
              </w:rPr>
              <w:t>3.未按审批的施工组织设计、施工方案、专项方案执行，扣1分。</w:t>
            </w:r>
          </w:p>
        </w:tc>
        <w:tc>
          <w:tcPr>
            <w:tcW w:w="576" w:type="dxa"/>
            <w:noWrap w:val="0"/>
            <w:vAlign w:val="center"/>
          </w:tcPr>
          <w:p w14:paraId="38DAEA78">
            <w:pPr>
              <w:spacing w:line="300" w:lineRule="exact"/>
              <w:jc w:val="center"/>
              <w:rPr>
                <w:rFonts w:hint="eastAsia" w:ascii="宋体" w:hAnsi="宋体" w:cs="宋体"/>
                <w:sz w:val="28"/>
                <w:szCs w:val="24"/>
                <w:highlight w:val="none"/>
              </w:rPr>
            </w:pPr>
          </w:p>
        </w:tc>
        <w:tc>
          <w:tcPr>
            <w:tcW w:w="1065" w:type="dxa"/>
            <w:noWrap w:val="0"/>
            <w:vAlign w:val="center"/>
          </w:tcPr>
          <w:p w14:paraId="06A576DA">
            <w:pPr>
              <w:spacing w:line="300" w:lineRule="exact"/>
              <w:jc w:val="center"/>
              <w:rPr>
                <w:rFonts w:hint="eastAsia" w:ascii="宋体" w:hAnsi="宋体" w:cs="宋体"/>
                <w:sz w:val="28"/>
                <w:szCs w:val="24"/>
                <w:highlight w:val="none"/>
              </w:rPr>
            </w:pPr>
          </w:p>
        </w:tc>
      </w:tr>
      <w:tr w14:paraId="5D41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70" w:type="dxa"/>
            <w:vMerge w:val="continue"/>
            <w:noWrap w:val="0"/>
            <w:vAlign w:val="top"/>
          </w:tcPr>
          <w:p w14:paraId="70DB4979">
            <w:pPr>
              <w:spacing w:line="300" w:lineRule="exact"/>
              <w:rPr>
                <w:rFonts w:hint="eastAsia" w:ascii="宋体" w:hAnsi="宋体" w:cs="宋体"/>
                <w:sz w:val="28"/>
                <w:szCs w:val="24"/>
                <w:highlight w:val="none"/>
              </w:rPr>
            </w:pPr>
          </w:p>
        </w:tc>
        <w:tc>
          <w:tcPr>
            <w:tcW w:w="1537" w:type="dxa"/>
            <w:gridSpan w:val="2"/>
            <w:noWrap w:val="0"/>
            <w:vAlign w:val="center"/>
          </w:tcPr>
          <w:p w14:paraId="5B2EA67E">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原材料</w:t>
            </w:r>
          </w:p>
          <w:p w14:paraId="549D921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控制</w:t>
            </w:r>
          </w:p>
        </w:tc>
        <w:tc>
          <w:tcPr>
            <w:tcW w:w="585" w:type="dxa"/>
            <w:noWrap w:val="0"/>
            <w:vAlign w:val="center"/>
          </w:tcPr>
          <w:p w14:paraId="5F2E5FB4">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5</w:t>
            </w:r>
          </w:p>
        </w:tc>
        <w:tc>
          <w:tcPr>
            <w:tcW w:w="4627" w:type="dxa"/>
            <w:gridSpan w:val="3"/>
            <w:noWrap w:val="0"/>
            <w:vAlign w:val="center"/>
          </w:tcPr>
          <w:p w14:paraId="1DB512D4">
            <w:pPr>
              <w:tabs>
                <w:tab w:val="left" w:pos="945"/>
              </w:tabs>
              <w:autoSpaceDE w:val="0"/>
              <w:autoSpaceDN w:val="0"/>
              <w:adjustRightInd w:val="0"/>
              <w:spacing w:line="360" w:lineRule="auto"/>
              <w:rPr>
                <w:rFonts w:hint="eastAsia" w:ascii="宋体" w:hAnsi="宋体" w:cs="宋体"/>
                <w:sz w:val="28"/>
                <w:szCs w:val="24"/>
                <w:highlight w:val="none"/>
              </w:rPr>
            </w:pPr>
            <w:r>
              <w:rPr>
                <w:rFonts w:hint="eastAsia" w:ascii="宋体" w:hAnsi="宋体" w:cs="宋体"/>
                <w:sz w:val="28"/>
                <w:szCs w:val="24"/>
                <w:highlight w:val="none"/>
              </w:rPr>
              <w:t>1.进场材料的各种质检资料不齐全，签字不全，扣1分。</w:t>
            </w:r>
          </w:p>
          <w:p w14:paraId="773BB8FA">
            <w:pPr>
              <w:tabs>
                <w:tab w:val="left" w:pos="945"/>
              </w:tabs>
              <w:autoSpaceDE w:val="0"/>
              <w:autoSpaceDN w:val="0"/>
              <w:adjustRightInd w:val="0"/>
              <w:spacing w:line="360" w:lineRule="auto"/>
              <w:rPr>
                <w:rFonts w:hint="eastAsia" w:ascii="宋体" w:hAnsi="宋体" w:cs="宋体"/>
                <w:sz w:val="28"/>
                <w:szCs w:val="24"/>
                <w:highlight w:val="none"/>
              </w:rPr>
            </w:pPr>
            <w:r>
              <w:rPr>
                <w:rFonts w:hint="eastAsia" w:ascii="宋体" w:hAnsi="宋体" w:cs="宋体"/>
                <w:sz w:val="28"/>
                <w:szCs w:val="24"/>
                <w:highlight w:val="none"/>
              </w:rPr>
              <w:t>2.进场材料发现存在不合格的，扣1分。</w:t>
            </w:r>
          </w:p>
          <w:p w14:paraId="299DFA6E">
            <w:pPr>
              <w:tabs>
                <w:tab w:val="left" w:pos="945"/>
              </w:tabs>
              <w:autoSpaceDE w:val="0"/>
              <w:autoSpaceDN w:val="0"/>
              <w:adjustRightInd w:val="0"/>
              <w:spacing w:line="360" w:lineRule="auto"/>
              <w:rPr>
                <w:rFonts w:hint="eastAsia" w:ascii="宋体" w:hAnsi="宋体" w:cs="宋体"/>
                <w:sz w:val="28"/>
                <w:szCs w:val="24"/>
                <w:highlight w:val="none"/>
              </w:rPr>
            </w:pPr>
            <w:r>
              <w:rPr>
                <w:rFonts w:hint="eastAsia" w:ascii="宋体" w:hAnsi="宋体" w:cs="宋体"/>
                <w:sz w:val="28"/>
                <w:szCs w:val="24"/>
                <w:highlight w:val="none"/>
              </w:rPr>
              <w:t>3.材料的贮存和保管不到位，存在受潮、锈蚀、变质风险，扣1分。</w:t>
            </w:r>
          </w:p>
          <w:p w14:paraId="7150BBA2">
            <w:pPr>
              <w:tabs>
                <w:tab w:val="left" w:pos="945"/>
              </w:tabs>
              <w:autoSpaceDE w:val="0"/>
              <w:autoSpaceDN w:val="0"/>
              <w:adjustRightInd w:val="0"/>
              <w:spacing w:line="360" w:lineRule="auto"/>
              <w:rPr>
                <w:rFonts w:hint="eastAsia" w:ascii="宋体" w:hAnsi="宋体" w:cs="宋体"/>
                <w:sz w:val="28"/>
                <w:szCs w:val="24"/>
                <w:highlight w:val="none"/>
              </w:rPr>
            </w:pPr>
            <w:r>
              <w:rPr>
                <w:rFonts w:hint="eastAsia" w:ascii="宋体" w:hAnsi="宋体" w:cs="宋体"/>
                <w:sz w:val="28"/>
                <w:szCs w:val="24"/>
                <w:highlight w:val="none"/>
              </w:rPr>
              <w:t>4.原材料未及时取样，试验频率不符合要求，试验结果存在错误，扣2分。</w:t>
            </w:r>
          </w:p>
        </w:tc>
        <w:tc>
          <w:tcPr>
            <w:tcW w:w="576" w:type="dxa"/>
            <w:noWrap w:val="0"/>
            <w:vAlign w:val="center"/>
          </w:tcPr>
          <w:p w14:paraId="6B9ECEC8">
            <w:pPr>
              <w:spacing w:line="300" w:lineRule="exact"/>
              <w:jc w:val="center"/>
              <w:rPr>
                <w:rFonts w:hint="eastAsia" w:ascii="宋体" w:hAnsi="宋体" w:cs="宋体"/>
                <w:sz w:val="28"/>
                <w:szCs w:val="24"/>
                <w:highlight w:val="none"/>
              </w:rPr>
            </w:pPr>
          </w:p>
        </w:tc>
        <w:tc>
          <w:tcPr>
            <w:tcW w:w="1065" w:type="dxa"/>
            <w:noWrap w:val="0"/>
            <w:vAlign w:val="center"/>
          </w:tcPr>
          <w:p w14:paraId="64C3EEDE">
            <w:pPr>
              <w:spacing w:line="300" w:lineRule="exact"/>
              <w:jc w:val="center"/>
              <w:rPr>
                <w:rFonts w:hint="eastAsia" w:ascii="宋体" w:hAnsi="宋体" w:cs="宋体"/>
                <w:sz w:val="28"/>
                <w:szCs w:val="24"/>
                <w:highlight w:val="none"/>
              </w:rPr>
            </w:pPr>
          </w:p>
        </w:tc>
      </w:tr>
      <w:tr w14:paraId="1AA3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670" w:type="dxa"/>
            <w:vMerge w:val="continue"/>
            <w:noWrap w:val="0"/>
            <w:vAlign w:val="top"/>
          </w:tcPr>
          <w:p w14:paraId="3655BF61">
            <w:pPr>
              <w:spacing w:line="300" w:lineRule="exact"/>
              <w:rPr>
                <w:rFonts w:hint="eastAsia" w:ascii="宋体" w:hAnsi="宋体" w:cs="宋体"/>
                <w:sz w:val="28"/>
                <w:szCs w:val="24"/>
                <w:highlight w:val="none"/>
              </w:rPr>
            </w:pPr>
          </w:p>
        </w:tc>
        <w:tc>
          <w:tcPr>
            <w:tcW w:w="1537" w:type="dxa"/>
            <w:gridSpan w:val="2"/>
            <w:noWrap w:val="0"/>
            <w:vAlign w:val="center"/>
          </w:tcPr>
          <w:p w14:paraId="30EF138F">
            <w:pPr>
              <w:spacing w:line="300" w:lineRule="exact"/>
              <w:rPr>
                <w:rFonts w:hint="eastAsia" w:ascii="宋体" w:hAnsi="宋体" w:cs="宋体"/>
                <w:sz w:val="28"/>
                <w:szCs w:val="24"/>
                <w:highlight w:val="none"/>
              </w:rPr>
            </w:pPr>
            <w:r>
              <w:rPr>
                <w:rFonts w:hint="eastAsia" w:ascii="宋体" w:hAnsi="宋体" w:cs="宋体"/>
                <w:sz w:val="28"/>
                <w:szCs w:val="24"/>
                <w:highlight w:val="none"/>
              </w:rPr>
              <w:t>过程管控</w:t>
            </w:r>
          </w:p>
        </w:tc>
        <w:tc>
          <w:tcPr>
            <w:tcW w:w="585" w:type="dxa"/>
            <w:noWrap w:val="0"/>
            <w:vAlign w:val="center"/>
          </w:tcPr>
          <w:p w14:paraId="36D98027">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7</w:t>
            </w:r>
          </w:p>
        </w:tc>
        <w:tc>
          <w:tcPr>
            <w:tcW w:w="4627" w:type="dxa"/>
            <w:gridSpan w:val="3"/>
            <w:noWrap w:val="0"/>
            <w:vAlign w:val="center"/>
          </w:tcPr>
          <w:p w14:paraId="4E2056AA">
            <w:pPr>
              <w:pStyle w:val="18"/>
              <w:spacing w:line="360" w:lineRule="auto"/>
              <w:ind w:firstLine="0" w:firstLineChars="0"/>
              <w:rPr>
                <w:rFonts w:hint="eastAsia" w:ascii="宋体" w:hAnsi="宋体" w:cs="宋体"/>
                <w:sz w:val="28"/>
                <w:szCs w:val="28"/>
                <w:highlight w:val="none"/>
              </w:rPr>
            </w:pPr>
            <w:r>
              <w:rPr>
                <w:rFonts w:hint="eastAsia" w:ascii="宋体" w:hAnsi="宋体" w:cs="宋体"/>
                <w:sz w:val="28"/>
                <w:szCs w:val="28"/>
                <w:highlight w:val="none"/>
              </w:rPr>
              <w:t>1.未建立、健全施工质量的检验制度，扣1分。</w:t>
            </w:r>
          </w:p>
          <w:p w14:paraId="370E7945">
            <w:pPr>
              <w:pStyle w:val="18"/>
              <w:spacing w:line="360" w:lineRule="auto"/>
              <w:ind w:firstLine="0" w:firstLineChars="0"/>
              <w:rPr>
                <w:rFonts w:hint="eastAsia" w:ascii="宋体" w:hAnsi="宋体" w:cs="宋体"/>
                <w:sz w:val="28"/>
                <w:szCs w:val="28"/>
                <w:highlight w:val="none"/>
              </w:rPr>
            </w:pPr>
            <w:r>
              <w:rPr>
                <w:rFonts w:hint="eastAsia" w:ascii="宋体" w:hAnsi="宋体" w:cs="宋体"/>
                <w:sz w:val="28"/>
                <w:szCs w:val="28"/>
                <w:highlight w:val="none"/>
              </w:rPr>
              <w:t>2.未执行隐蔽工程的质量检查验收，记录不全，扣1分。</w:t>
            </w:r>
          </w:p>
          <w:p w14:paraId="64246DB6">
            <w:pPr>
              <w:pStyle w:val="18"/>
              <w:spacing w:line="360" w:lineRule="auto"/>
              <w:ind w:firstLine="0" w:firstLineChars="0"/>
              <w:rPr>
                <w:rFonts w:hint="eastAsia" w:ascii="宋体" w:hAnsi="宋体" w:cs="宋体"/>
                <w:sz w:val="28"/>
                <w:szCs w:val="28"/>
                <w:highlight w:val="none"/>
              </w:rPr>
            </w:pPr>
            <w:r>
              <w:rPr>
                <w:rFonts w:hint="eastAsia" w:ascii="宋体" w:hAnsi="宋体" w:cs="宋体"/>
                <w:sz w:val="28"/>
                <w:szCs w:val="28"/>
                <w:highlight w:val="none"/>
              </w:rPr>
              <w:t>3.未按规定执行检验批、分项工程、分部工程的质量报验工作，扣1分。</w:t>
            </w:r>
          </w:p>
          <w:p w14:paraId="5A3D4F95">
            <w:pPr>
              <w:pStyle w:val="18"/>
              <w:spacing w:line="360" w:lineRule="auto"/>
              <w:ind w:firstLine="0" w:firstLineChars="0"/>
              <w:rPr>
                <w:rFonts w:hint="eastAsia" w:ascii="宋体" w:hAnsi="宋体" w:cs="宋体"/>
                <w:sz w:val="28"/>
                <w:szCs w:val="28"/>
                <w:highlight w:val="none"/>
              </w:rPr>
            </w:pPr>
            <w:r>
              <w:rPr>
                <w:rFonts w:hint="eastAsia" w:ascii="宋体" w:hAnsi="宋体" w:cs="宋体"/>
                <w:sz w:val="28"/>
                <w:szCs w:val="28"/>
                <w:highlight w:val="none"/>
              </w:rPr>
              <w:t>4.报验不合格，进行下一道工序施工，扣2分。</w:t>
            </w:r>
          </w:p>
          <w:p w14:paraId="69A2E698">
            <w:pPr>
              <w:pStyle w:val="18"/>
              <w:spacing w:line="360" w:lineRule="auto"/>
              <w:ind w:firstLine="0" w:firstLineChars="0"/>
              <w:rPr>
                <w:rFonts w:hint="eastAsia" w:ascii="宋体" w:hAnsi="宋体" w:cs="宋体"/>
                <w:sz w:val="28"/>
                <w:szCs w:val="28"/>
                <w:highlight w:val="none"/>
              </w:rPr>
            </w:pPr>
            <w:r>
              <w:rPr>
                <w:rFonts w:hint="eastAsia" w:ascii="宋体" w:hAnsi="宋体" w:cs="宋体"/>
                <w:sz w:val="28"/>
                <w:szCs w:val="28"/>
                <w:highlight w:val="none"/>
              </w:rPr>
              <w:t>5.质量实测数据合格率不符合规范要求，扣2分。</w:t>
            </w:r>
          </w:p>
        </w:tc>
        <w:tc>
          <w:tcPr>
            <w:tcW w:w="576" w:type="dxa"/>
            <w:noWrap w:val="0"/>
            <w:vAlign w:val="center"/>
          </w:tcPr>
          <w:p w14:paraId="3D2C0134">
            <w:pPr>
              <w:spacing w:line="300" w:lineRule="exact"/>
              <w:jc w:val="center"/>
              <w:rPr>
                <w:rFonts w:hint="eastAsia" w:ascii="宋体" w:hAnsi="宋体" w:cs="宋体"/>
                <w:sz w:val="28"/>
                <w:szCs w:val="24"/>
                <w:highlight w:val="none"/>
              </w:rPr>
            </w:pPr>
          </w:p>
        </w:tc>
        <w:tc>
          <w:tcPr>
            <w:tcW w:w="1065" w:type="dxa"/>
            <w:noWrap w:val="0"/>
            <w:vAlign w:val="center"/>
          </w:tcPr>
          <w:p w14:paraId="32AB27E8">
            <w:pPr>
              <w:spacing w:line="300" w:lineRule="exact"/>
              <w:jc w:val="center"/>
              <w:rPr>
                <w:rFonts w:hint="eastAsia" w:ascii="宋体" w:hAnsi="宋体" w:cs="宋体"/>
                <w:sz w:val="28"/>
                <w:szCs w:val="24"/>
                <w:highlight w:val="none"/>
              </w:rPr>
            </w:pPr>
          </w:p>
        </w:tc>
      </w:tr>
      <w:tr w14:paraId="2880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670" w:type="dxa"/>
            <w:vMerge w:val="continue"/>
            <w:noWrap w:val="0"/>
            <w:vAlign w:val="top"/>
          </w:tcPr>
          <w:p w14:paraId="27C26FBF">
            <w:pPr>
              <w:spacing w:line="300" w:lineRule="exact"/>
              <w:rPr>
                <w:rFonts w:hint="eastAsia" w:ascii="宋体" w:hAnsi="宋体" w:cs="宋体"/>
                <w:sz w:val="28"/>
                <w:szCs w:val="24"/>
                <w:highlight w:val="none"/>
              </w:rPr>
            </w:pPr>
          </w:p>
        </w:tc>
        <w:tc>
          <w:tcPr>
            <w:tcW w:w="1537" w:type="dxa"/>
            <w:gridSpan w:val="2"/>
            <w:noWrap w:val="0"/>
            <w:vAlign w:val="center"/>
          </w:tcPr>
          <w:p w14:paraId="6BFE03CC">
            <w:pPr>
              <w:spacing w:line="300" w:lineRule="exact"/>
              <w:rPr>
                <w:rFonts w:hint="eastAsia" w:ascii="宋体" w:hAnsi="宋体" w:cs="宋体"/>
                <w:sz w:val="28"/>
                <w:szCs w:val="24"/>
                <w:highlight w:val="none"/>
              </w:rPr>
            </w:pPr>
            <w:r>
              <w:rPr>
                <w:rFonts w:hint="eastAsia" w:ascii="宋体" w:hAnsi="宋体" w:cs="宋体"/>
                <w:sz w:val="28"/>
                <w:szCs w:val="24"/>
                <w:highlight w:val="none"/>
              </w:rPr>
              <w:t>质量问题和质量事故的整改、处理落实情况</w:t>
            </w:r>
          </w:p>
        </w:tc>
        <w:tc>
          <w:tcPr>
            <w:tcW w:w="585" w:type="dxa"/>
            <w:noWrap w:val="0"/>
            <w:vAlign w:val="center"/>
          </w:tcPr>
          <w:p w14:paraId="7A839AE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627" w:type="dxa"/>
            <w:gridSpan w:val="3"/>
            <w:noWrap w:val="0"/>
            <w:vAlign w:val="center"/>
          </w:tcPr>
          <w:p w14:paraId="29873DA9">
            <w:pPr>
              <w:spacing w:line="300" w:lineRule="exact"/>
              <w:rPr>
                <w:rFonts w:hint="eastAsia" w:ascii="宋体" w:hAnsi="宋体" w:cs="宋体"/>
                <w:sz w:val="28"/>
                <w:szCs w:val="24"/>
                <w:highlight w:val="none"/>
              </w:rPr>
            </w:pPr>
            <w:r>
              <w:rPr>
                <w:rFonts w:hint="eastAsia" w:ascii="宋体" w:hAnsi="宋体" w:cs="宋体"/>
                <w:sz w:val="28"/>
                <w:szCs w:val="24"/>
                <w:highlight w:val="none"/>
              </w:rPr>
              <w:t>造成局部返工的，每项次扣2分；问题较严重，返工处理影响工程进度该项不得分。</w:t>
            </w:r>
          </w:p>
        </w:tc>
        <w:tc>
          <w:tcPr>
            <w:tcW w:w="576" w:type="dxa"/>
            <w:noWrap w:val="0"/>
            <w:vAlign w:val="center"/>
          </w:tcPr>
          <w:p w14:paraId="3B923232">
            <w:pPr>
              <w:spacing w:line="300" w:lineRule="exact"/>
              <w:jc w:val="center"/>
              <w:rPr>
                <w:rFonts w:hint="eastAsia" w:ascii="宋体" w:hAnsi="宋体" w:cs="宋体"/>
                <w:sz w:val="28"/>
                <w:szCs w:val="24"/>
                <w:highlight w:val="none"/>
              </w:rPr>
            </w:pPr>
          </w:p>
        </w:tc>
        <w:tc>
          <w:tcPr>
            <w:tcW w:w="1065" w:type="dxa"/>
            <w:noWrap w:val="0"/>
            <w:vAlign w:val="center"/>
          </w:tcPr>
          <w:p w14:paraId="4230F6F8">
            <w:pPr>
              <w:spacing w:line="300" w:lineRule="exact"/>
              <w:jc w:val="center"/>
              <w:rPr>
                <w:rFonts w:hint="eastAsia" w:ascii="宋体" w:hAnsi="宋体" w:cs="宋体"/>
                <w:sz w:val="28"/>
                <w:szCs w:val="24"/>
                <w:highlight w:val="none"/>
              </w:rPr>
            </w:pPr>
          </w:p>
        </w:tc>
      </w:tr>
      <w:tr w14:paraId="6695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restart"/>
            <w:noWrap w:val="0"/>
            <w:vAlign w:val="center"/>
          </w:tcPr>
          <w:p w14:paraId="2C69018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安全控制</w:t>
            </w:r>
          </w:p>
        </w:tc>
        <w:tc>
          <w:tcPr>
            <w:tcW w:w="1537" w:type="dxa"/>
            <w:gridSpan w:val="2"/>
            <w:noWrap w:val="0"/>
            <w:vAlign w:val="center"/>
          </w:tcPr>
          <w:p w14:paraId="5CE3CC5C">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安全生产体系建立</w:t>
            </w:r>
          </w:p>
        </w:tc>
        <w:tc>
          <w:tcPr>
            <w:tcW w:w="585" w:type="dxa"/>
            <w:noWrap w:val="0"/>
            <w:vAlign w:val="center"/>
          </w:tcPr>
          <w:p w14:paraId="748F57E0">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1.5</w:t>
            </w:r>
          </w:p>
        </w:tc>
        <w:tc>
          <w:tcPr>
            <w:tcW w:w="4627" w:type="dxa"/>
            <w:gridSpan w:val="3"/>
            <w:noWrap w:val="0"/>
            <w:vAlign w:val="center"/>
          </w:tcPr>
          <w:p w14:paraId="7702E3C8">
            <w:pPr>
              <w:spacing w:line="300" w:lineRule="exact"/>
              <w:rPr>
                <w:rFonts w:hint="eastAsia" w:ascii="宋体" w:hAnsi="宋体" w:cs="宋体"/>
                <w:sz w:val="28"/>
                <w:szCs w:val="24"/>
                <w:highlight w:val="none"/>
              </w:rPr>
            </w:pPr>
            <w:r>
              <w:rPr>
                <w:rFonts w:hint="eastAsia" w:ascii="宋体" w:hAnsi="宋体" w:cs="宋体"/>
                <w:sz w:val="28"/>
                <w:szCs w:val="24"/>
                <w:highlight w:val="none"/>
              </w:rPr>
              <w:t>1.未建立安全生产组织机构扣 0.5分。</w:t>
            </w:r>
          </w:p>
          <w:p w14:paraId="1A8DBB4F">
            <w:pPr>
              <w:spacing w:line="300" w:lineRule="exact"/>
              <w:rPr>
                <w:rFonts w:hint="eastAsia" w:ascii="宋体" w:hAnsi="宋体" w:cs="宋体"/>
                <w:sz w:val="28"/>
                <w:szCs w:val="24"/>
                <w:highlight w:val="none"/>
              </w:rPr>
            </w:pPr>
            <w:r>
              <w:rPr>
                <w:rFonts w:hint="eastAsia" w:ascii="宋体" w:hAnsi="宋体" w:cs="宋体"/>
                <w:sz w:val="28"/>
                <w:szCs w:val="24"/>
                <w:highlight w:val="none"/>
              </w:rPr>
              <w:t>2.未建立安全生产责任制扣 0.5分。</w:t>
            </w:r>
          </w:p>
          <w:p w14:paraId="76E1D4EA">
            <w:pPr>
              <w:spacing w:line="300" w:lineRule="exact"/>
              <w:rPr>
                <w:rFonts w:hint="eastAsia" w:ascii="宋体" w:hAnsi="宋体" w:cs="宋体"/>
                <w:sz w:val="28"/>
                <w:szCs w:val="24"/>
                <w:highlight w:val="none"/>
              </w:rPr>
            </w:pPr>
            <w:r>
              <w:rPr>
                <w:rFonts w:hint="eastAsia" w:ascii="宋体" w:hAnsi="宋体" w:cs="宋体"/>
                <w:sz w:val="28"/>
                <w:szCs w:val="24"/>
                <w:highlight w:val="none"/>
              </w:rPr>
              <w:t>3.未建立安全生产制度扣 0.5 分。</w:t>
            </w:r>
          </w:p>
        </w:tc>
        <w:tc>
          <w:tcPr>
            <w:tcW w:w="576" w:type="dxa"/>
            <w:noWrap w:val="0"/>
            <w:vAlign w:val="center"/>
          </w:tcPr>
          <w:p w14:paraId="164DB4E6">
            <w:pPr>
              <w:spacing w:line="300" w:lineRule="exact"/>
              <w:jc w:val="center"/>
              <w:rPr>
                <w:rFonts w:hint="eastAsia" w:ascii="宋体" w:hAnsi="宋体" w:cs="宋体"/>
                <w:sz w:val="28"/>
                <w:szCs w:val="24"/>
                <w:highlight w:val="none"/>
              </w:rPr>
            </w:pPr>
          </w:p>
        </w:tc>
        <w:tc>
          <w:tcPr>
            <w:tcW w:w="1065" w:type="dxa"/>
            <w:noWrap w:val="0"/>
            <w:vAlign w:val="center"/>
          </w:tcPr>
          <w:p w14:paraId="33D4E1CF">
            <w:pPr>
              <w:spacing w:line="300" w:lineRule="exact"/>
              <w:jc w:val="center"/>
              <w:rPr>
                <w:rFonts w:hint="eastAsia" w:ascii="宋体" w:hAnsi="宋体" w:cs="宋体"/>
                <w:sz w:val="28"/>
                <w:szCs w:val="24"/>
                <w:highlight w:val="none"/>
              </w:rPr>
            </w:pPr>
          </w:p>
        </w:tc>
      </w:tr>
      <w:tr w14:paraId="2063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continue"/>
            <w:noWrap w:val="0"/>
            <w:vAlign w:val="top"/>
          </w:tcPr>
          <w:p w14:paraId="5D145531">
            <w:pPr>
              <w:spacing w:line="300" w:lineRule="exact"/>
              <w:rPr>
                <w:rFonts w:hint="eastAsia" w:ascii="宋体" w:hAnsi="宋体" w:cs="宋体"/>
                <w:sz w:val="28"/>
                <w:szCs w:val="24"/>
                <w:highlight w:val="none"/>
              </w:rPr>
            </w:pPr>
          </w:p>
        </w:tc>
        <w:tc>
          <w:tcPr>
            <w:tcW w:w="1537" w:type="dxa"/>
            <w:gridSpan w:val="2"/>
            <w:noWrap w:val="0"/>
            <w:vAlign w:val="center"/>
          </w:tcPr>
          <w:p w14:paraId="0C1CB3D4">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安全技术交底及资料</w:t>
            </w:r>
          </w:p>
        </w:tc>
        <w:tc>
          <w:tcPr>
            <w:tcW w:w="585" w:type="dxa"/>
            <w:noWrap w:val="0"/>
            <w:vAlign w:val="center"/>
          </w:tcPr>
          <w:p w14:paraId="57066C26">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1.5</w:t>
            </w:r>
          </w:p>
        </w:tc>
        <w:tc>
          <w:tcPr>
            <w:tcW w:w="4627" w:type="dxa"/>
            <w:gridSpan w:val="3"/>
            <w:noWrap w:val="0"/>
            <w:vAlign w:val="center"/>
          </w:tcPr>
          <w:p w14:paraId="189D506F">
            <w:pPr>
              <w:spacing w:line="300" w:lineRule="exact"/>
              <w:rPr>
                <w:rFonts w:hint="eastAsia" w:ascii="宋体" w:hAnsi="宋体" w:cs="宋体"/>
                <w:sz w:val="28"/>
                <w:szCs w:val="24"/>
                <w:highlight w:val="none"/>
              </w:rPr>
            </w:pPr>
            <w:r>
              <w:rPr>
                <w:rFonts w:hint="eastAsia" w:ascii="宋体" w:hAnsi="宋体" w:cs="宋体"/>
                <w:sz w:val="28"/>
                <w:szCs w:val="24"/>
                <w:highlight w:val="none"/>
              </w:rPr>
              <w:t>1.生产或技术负责人在生产作业前未对直接生产作业人员进行安全操作规程和注意事项交底的扣 0.5分；</w:t>
            </w:r>
          </w:p>
          <w:p w14:paraId="5F4AF818">
            <w:pPr>
              <w:spacing w:line="300" w:lineRule="exact"/>
              <w:rPr>
                <w:rFonts w:hint="eastAsia" w:ascii="宋体" w:hAnsi="宋体" w:cs="宋体"/>
                <w:sz w:val="28"/>
                <w:szCs w:val="24"/>
                <w:highlight w:val="none"/>
              </w:rPr>
            </w:pPr>
            <w:r>
              <w:rPr>
                <w:rFonts w:hint="eastAsia" w:ascii="宋体" w:hAnsi="宋体" w:cs="宋体"/>
                <w:sz w:val="28"/>
                <w:szCs w:val="24"/>
                <w:highlight w:val="none"/>
              </w:rPr>
              <w:t>2.安全技术交底未以书面形式确认且无交底人、被交底人、专职安全员签字确认，扣0.5 分；</w:t>
            </w:r>
          </w:p>
          <w:p w14:paraId="0B1CA9DD">
            <w:pPr>
              <w:spacing w:line="300" w:lineRule="exact"/>
              <w:rPr>
                <w:rFonts w:hint="eastAsia" w:ascii="宋体" w:hAnsi="宋体" w:cs="宋体"/>
                <w:sz w:val="28"/>
                <w:szCs w:val="24"/>
                <w:highlight w:val="none"/>
              </w:rPr>
            </w:pPr>
            <w:r>
              <w:rPr>
                <w:rFonts w:hint="eastAsia" w:ascii="宋体" w:hAnsi="宋体" w:cs="宋体"/>
                <w:sz w:val="28"/>
                <w:szCs w:val="24"/>
                <w:highlight w:val="none"/>
              </w:rPr>
              <w:t>3.安全检查记录等资料未达到完整齐备的，扣0.5分；</w:t>
            </w:r>
          </w:p>
        </w:tc>
        <w:tc>
          <w:tcPr>
            <w:tcW w:w="576" w:type="dxa"/>
            <w:noWrap w:val="0"/>
            <w:vAlign w:val="center"/>
          </w:tcPr>
          <w:p w14:paraId="55FF8C83">
            <w:pPr>
              <w:spacing w:line="300" w:lineRule="exact"/>
              <w:jc w:val="center"/>
              <w:rPr>
                <w:rFonts w:hint="eastAsia" w:ascii="宋体" w:hAnsi="宋体" w:cs="宋体"/>
                <w:sz w:val="28"/>
                <w:szCs w:val="24"/>
                <w:highlight w:val="none"/>
              </w:rPr>
            </w:pPr>
          </w:p>
        </w:tc>
        <w:tc>
          <w:tcPr>
            <w:tcW w:w="1065" w:type="dxa"/>
            <w:noWrap w:val="0"/>
            <w:vAlign w:val="center"/>
          </w:tcPr>
          <w:p w14:paraId="0151136E">
            <w:pPr>
              <w:spacing w:line="300" w:lineRule="exact"/>
              <w:jc w:val="center"/>
              <w:rPr>
                <w:rFonts w:hint="eastAsia" w:ascii="宋体" w:hAnsi="宋体" w:cs="宋体"/>
                <w:sz w:val="28"/>
                <w:szCs w:val="24"/>
                <w:highlight w:val="none"/>
              </w:rPr>
            </w:pPr>
          </w:p>
        </w:tc>
      </w:tr>
      <w:tr w14:paraId="4CA2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continue"/>
            <w:noWrap w:val="0"/>
            <w:vAlign w:val="top"/>
          </w:tcPr>
          <w:p w14:paraId="4B9A7E79">
            <w:pPr>
              <w:spacing w:line="300" w:lineRule="exact"/>
              <w:rPr>
                <w:rFonts w:hint="eastAsia" w:ascii="宋体" w:hAnsi="宋体" w:cs="宋体"/>
                <w:sz w:val="28"/>
                <w:szCs w:val="24"/>
                <w:highlight w:val="none"/>
              </w:rPr>
            </w:pPr>
          </w:p>
        </w:tc>
        <w:tc>
          <w:tcPr>
            <w:tcW w:w="1537" w:type="dxa"/>
            <w:gridSpan w:val="2"/>
            <w:noWrap w:val="0"/>
            <w:vAlign w:val="center"/>
          </w:tcPr>
          <w:p w14:paraId="6B98FC0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施工临时用电及施工机具的安全使用情况</w:t>
            </w:r>
          </w:p>
        </w:tc>
        <w:tc>
          <w:tcPr>
            <w:tcW w:w="585" w:type="dxa"/>
            <w:noWrap w:val="0"/>
            <w:vAlign w:val="center"/>
          </w:tcPr>
          <w:p w14:paraId="50AC102E">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1</w:t>
            </w:r>
          </w:p>
        </w:tc>
        <w:tc>
          <w:tcPr>
            <w:tcW w:w="4627" w:type="dxa"/>
            <w:gridSpan w:val="3"/>
            <w:noWrap w:val="0"/>
            <w:vAlign w:val="center"/>
          </w:tcPr>
          <w:p w14:paraId="339F9703">
            <w:pPr>
              <w:spacing w:line="300" w:lineRule="exact"/>
              <w:rPr>
                <w:rFonts w:hint="eastAsia" w:ascii="宋体" w:hAnsi="宋体" w:cs="宋体"/>
                <w:sz w:val="28"/>
                <w:szCs w:val="24"/>
                <w:highlight w:val="none"/>
              </w:rPr>
            </w:pPr>
            <w:r>
              <w:rPr>
                <w:rFonts w:hint="eastAsia" w:ascii="宋体" w:hAnsi="宋体" w:cs="宋体"/>
                <w:sz w:val="28"/>
                <w:szCs w:val="24"/>
                <w:highlight w:val="none"/>
              </w:rPr>
              <w:t>施工现场用电及机具违反或未达到临时用电安全技术规范的，扣1分；</w:t>
            </w:r>
          </w:p>
        </w:tc>
        <w:tc>
          <w:tcPr>
            <w:tcW w:w="576" w:type="dxa"/>
            <w:noWrap w:val="0"/>
            <w:vAlign w:val="center"/>
          </w:tcPr>
          <w:p w14:paraId="65FB893B">
            <w:pPr>
              <w:spacing w:line="300" w:lineRule="exact"/>
              <w:jc w:val="center"/>
              <w:rPr>
                <w:rFonts w:hint="eastAsia" w:ascii="宋体" w:hAnsi="宋体" w:cs="宋体"/>
                <w:sz w:val="28"/>
                <w:szCs w:val="24"/>
                <w:highlight w:val="none"/>
              </w:rPr>
            </w:pPr>
          </w:p>
        </w:tc>
        <w:tc>
          <w:tcPr>
            <w:tcW w:w="1065" w:type="dxa"/>
            <w:noWrap w:val="0"/>
            <w:vAlign w:val="center"/>
          </w:tcPr>
          <w:p w14:paraId="4CC21439">
            <w:pPr>
              <w:spacing w:line="300" w:lineRule="exact"/>
              <w:jc w:val="center"/>
              <w:rPr>
                <w:rFonts w:hint="eastAsia" w:ascii="宋体" w:hAnsi="宋体" w:cs="宋体"/>
                <w:sz w:val="28"/>
                <w:szCs w:val="24"/>
                <w:highlight w:val="none"/>
              </w:rPr>
            </w:pPr>
          </w:p>
        </w:tc>
      </w:tr>
      <w:tr w14:paraId="4C49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continue"/>
            <w:noWrap w:val="0"/>
            <w:vAlign w:val="top"/>
          </w:tcPr>
          <w:p w14:paraId="5379BB87">
            <w:pPr>
              <w:spacing w:line="300" w:lineRule="exact"/>
              <w:rPr>
                <w:rFonts w:hint="eastAsia" w:ascii="宋体" w:hAnsi="宋体" w:cs="宋体"/>
                <w:sz w:val="28"/>
                <w:szCs w:val="24"/>
                <w:highlight w:val="none"/>
              </w:rPr>
            </w:pPr>
          </w:p>
        </w:tc>
        <w:tc>
          <w:tcPr>
            <w:tcW w:w="1537" w:type="dxa"/>
            <w:gridSpan w:val="2"/>
            <w:noWrap w:val="0"/>
            <w:vAlign w:val="center"/>
          </w:tcPr>
          <w:p w14:paraId="2D54F778">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特种作业人员及设备</w:t>
            </w:r>
          </w:p>
        </w:tc>
        <w:tc>
          <w:tcPr>
            <w:tcW w:w="585" w:type="dxa"/>
            <w:noWrap w:val="0"/>
            <w:vAlign w:val="center"/>
          </w:tcPr>
          <w:p w14:paraId="330C5701">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627" w:type="dxa"/>
            <w:gridSpan w:val="3"/>
            <w:noWrap w:val="0"/>
            <w:vAlign w:val="center"/>
          </w:tcPr>
          <w:p w14:paraId="474F79F6">
            <w:pPr>
              <w:spacing w:line="300" w:lineRule="exact"/>
              <w:rPr>
                <w:rFonts w:hint="eastAsia" w:ascii="宋体" w:hAnsi="宋体" w:cs="宋体"/>
                <w:sz w:val="28"/>
                <w:szCs w:val="24"/>
                <w:highlight w:val="none"/>
              </w:rPr>
            </w:pPr>
            <w:r>
              <w:rPr>
                <w:rFonts w:hint="eastAsia" w:ascii="宋体" w:hAnsi="宋体" w:cs="宋体"/>
                <w:sz w:val="28"/>
                <w:szCs w:val="24"/>
                <w:highlight w:val="none"/>
              </w:rPr>
              <w:t>1.特种作业人员无证上岗，扣 0.5分，未立即要求退场的每起扣0.5分。</w:t>
            </w:r>
          </w:p>
          <w:p w14:paraId="436216B5">
            <w:pPr>
              <w:spacing w:line="300" w:lineRule="exact"/>
              <w:rPr>
                <w:rFonts w:hint="eastAsia" w:ascii="宋体" w:hAnsi="宋体" w:cs="宋体"/>
                <w:sz w:val="28"/>
                <w:szCs w:val="24"/>
                <w:highlight w:val="none"/>
              </w:rPr>
            </w:pPr>
            <w:r>
              <w:rPr>
                <w:rFonts w:hint="eastAsia" w:ascii="宋体" w:hAnsi="宋体" w:cs="宋体"/>
                <w:sz w:val="28"/>
                <w:szCs w:val="24"/>
                <w:highlight w:val="none"/>
              </w:rPr>
              <w:t>2.装载机、摊铺机、挖掘机、起重吊装等设备的安全管理制度和安全防范有隐患，扣1 分。</w:t>
            </w:r>
          </w:p>
        </w:tc>
        <w:tc>
          <w:tcPr>
            <w:tcW w:w="576" w:type="dxa"/>
            <w:noWrap w:val="0"/>
            <w:vAlign w:val="center"/>
          </w:tcPr>
          <w:p w14:paraId="2B2F5A7B">
            <w:pPr>
              <w:spacing w:line="300" w:lineRule="exact"/>
              <w:jc w:val="center"/>
              <w:rPr>
                <w:rFonts w:hint="eastAsia" w:ascii="宋体" w:hAnsi="宋体" w:cs="宋体"/>
                <w:sz w:val="28"/>
                <w:szCs w:val="24"/>
                <w:highlight w:val="none"/>
              </w:rPr>
            </w:pPr>
          </w:p>
        </w:tc>
        <w:tc>
          <w:tcPr>
            <w:tcW w:w="1065" w:type="dxa"/>
            <w:noWrap w:val="0"/>
            <w:vAlign w:val="center"/>
          </w:tcPr>
          <w:p w14:paraId="2D44E45B">
            <w:pPr>
              <w:spacing w:line="300" w:lineRule="exact"/>
              <w:jc w:val="center"/>
              <w:rPr>
                <w:rFonts w:hint="eastAsia" w:ascii="宋体" w:hAnsi="宋体" w:cs="宋体"/>
                <w:sz w:val="28"/>
                <w:szCs w:val="24"/>
                <w:highlight w:val="none"/>
              </w:rPr>
            </w:pPr>
          </w:p>
        </w:tc>
      </w:tr>
      <w:tr w14:paraId="1E4B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continue"/>
            <w:noWrap w:val="0"/>
            <w:vAlign w:val="top"/>
          </w:tcPr>
          <w:p w14:paraId="2665BA3C">
            <w:pPr>
              <w:spacing w:line="300" w:lineRule="exact"/>
              <w:rPr>
                <w:rFonts w:hint="eastAsia" w:ascii="宋体" w:hAnsi="宋体" w:cs="宋体"/>
                <w:sz w:val="28"/>
                <w:szCs w:val="24"/>
                <w:highlight w:val="none"/>
              </w:rPr>
            </w:pPr>
          </w:p>
        </w:tc>
        <w:tc>
          <w:tcPr>
            <w:tcW w:w="1537" w:type="dxa"/>
            <w:gridSpan w:val="2"/>
            <w:noWrap w:val="0"/>
            <w:vAlign w:val="center"/>
          </w:tcPr>
          <w:p w14:paraId="1F34E58D">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安全教育培训</w:t>
            </w:r>
          </w:p>
        </w:tc>
        <w:tc>
          <w:tcPr>
            <w:tcW w:w="585" w:type="dxa"/>
            <w:noWrap w:val="0"/>
            <w:vAlign w:val="center"/>
          </w:tcPr>
          <w:p w14:paraId="224E0E2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1.5</w:t>
            </w:r>
          </w:p>
        </w:tc>
        <w:tc>
          <w:tcPr>
            <w:tcW w:w="4627" w:type="dxa"/>
            <w:gridSpan w:val="3"/>
            <w:noWrap w:val="0"/>
            <w:vAlign w:val="center"/>
          </w:tcPr>
          <w:p w14:paraId="62329E04">
            <w:pPr>
              <w:spacing w:line="300" w:lineRule="exact"/>
              <w:rPr>
                <w:rFonts w:hint="eastAsia" w:ascii="宋体" w:hAnsi="宋体" w:cs="宋体"/>
                <w:sz w:val="28"/>
                <w:szCs w:val="24"/>
                <w:highlight w:val="none"/>
              </w:rPr>
            </w:pPr>
            <w:r>
              <w:rPr>
                <w:rFonts w:hint="eastAsia" w:ascii="宋体" w:hAnsi="宋体" w:cs="宋体"/>
                <w:sz w:val="28"/>
                <w:szCs w:val="24"/>
                <w:highlight w:val="none"/>
              </w:rPr>
              <w:t>1.未按期进行安全教育培训及三级教育，扣1分。</w:t>
            </w:r>
            <w:r>
              <w:rPr>
                <w:rFonts w:hint="eastAsia" w:ascii="宋体" w:hAnsi="宋体" w:cs="宋体"/>
                <w:sz w:val="28"/>
                <w:szCs w:val="24"/>
                <w:highlight w:val="none"/>
              </w:rPr>
              <w:br w:type="textWrapping"/>
            </w:r>
            <w:r>
              <w:rPr>
                <w:rFonts w:hint="eastAsia" w:ascii="宋体" w:hAnsi="宋体" w:cs="宋体"/>
                <w:sz w:val="28"/>
                <w:szCs w:val="24"/>
                <w:highlight w:val="none"/>
              </w:rPr>
              <w:t>2.留存教育培训记录不全，扣 0.5分。</w:t>
            </w:r>
          </w:p>
        </w:tc>
        <w:tc>
          <w:tcPr>
            <w:tcW w:w="576" w:type="dxa"/>
            <w:noWrap w:val="0"/>
            <w:vAlign w:val="center"/>
          </w:tcPr>
          <w:p w14:paraId="5E1751D2">
            <w:pPr>
              <w:spacing w:line="300" w:lineRule="exact"/>
              <w:jc w:val="center"/>
              <w:rPr>
                <w:rFonts w:hint="eastAsia" w:ascii="宋体" w:hAnsi="宋体" w:cs="宋体"/>
                <w:sz w:val="28"/>
                <w:szCs w:val="24"/>
                <w:highlight w:val="none"/>
              </w:rPr>
            </w:pPr>
          </w:p>
        </w:tc>
        <w:tc>
          <w:tcPr>
            <w:tcW w:w="1065" w:type="dxa"/>
            <w:noWrap w:val="0"/>
            <w:vAlign w:val="center"/>
          </w:tcPr>
          <w:p w14:paraId="62467D6E">
            <w:pPr>
              <w:spacing w:line="300" w:lineRule="exact"/>
              <w:jc w:val="center"/>
              <w:rPr>
                <w:rFonts w:hint="eastAsia" w:ascii="宋体" w:hAnsi="宋体" w:cs="宋体"/>
                <w:sz w:val="28"/>
                <w:szCs w:val="24"/>
                <w:highlight w:val="none"/>
              </w:rPr>
            </w:pPr>
          </w:p>
        </w:tc>
      </w:tr>
      <w:tr w14:paraId="116F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continue"/>
            <w:noWrap w:val="0"/>
            <w:vAlign w:val="top"/>
          </w:tcPr>
          <w:p w14:paraId="1197991F">
            <w:pPr>
              <w:spacing w:line="300" w:lineRule="exact"/>
              <w:rPr>
                <w:rFonts w:hint="eastAsia" w:ascii="宋体" w:hAnsi="宋体" w:cs="宋体"/>
                <w:sz w:val="28"/>
                <w:szCs w:val="24"/>
                <w:highlight w:val="none"/>
              </w:rPr>
            </w:pPr>
          </w:p>
        </w:tc>
        <w:tc>
          <w:tcPr>
            <w:tcW w:w="1537" w:type="dxa"/>
            <w:gridSpan w:val="2"/>
            <w:noWrap w:val="0"/>
            <w:vAlign w:val="center"/>
          </w:tcPr>
          <w:p w14:paraId="5FAD3F8F">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安全防护情</w:t>
            </w:r>
          </w:p>
          <w:p w14:paraId="3F0BB537">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况(包括整</w:t>
            </w:r>
          </w:p>
          <w:p w14:paraId="21FE03E1">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体提升脚手</w:t>
            </w:r>
          </w:p>
          <w:p w14:paraId="0E5C080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架、临时洞</w:t>
            </w:r>
          </w:p>
          <w:p w14:paraId="4613C82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口防护、施</w:t>
            </w:r>
          </w:p>
          <w:p w14:paraId="66BB9067">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工用吊篮、物料提升机、基坑与土方支护</w:t>
            </w:r>
          </w:p>
          <w:p w14:paraId="7D6FF2CD">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等）</w:t>
            </w:r>
          </w:p>
        </w:tc>
        <w:tc>
          <w:tcPr>
            <w:tcW w:w="585" w:type="dxa"/>
            <w:noWrap w:val="0"/>
            <w:vAlign w:val="center"/>
          </w:tcPr>
          <w:p w14:paraId="3573201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627" w:type="dxa"/>
            <w:gridSpan w:val="3"/>
            <w:noWrap w:val="0"/>
            <w:vAlign w:val="center"/>
          </w:tcPr>
          <w:p w14:paraId="4DEE64B2">
            <w:pPr>
              <w:spacing w:line="300" w:lineRule="exact"/>
              <w:rPr>
                <w:rFonts w:hint="eastAsia" w:ascii="宋体" w:hAnsi="宋体" w:cs="宋体"/>
                <w:sz w:val="28"/>
                <w:szCs w:val="24"/>
                <w:highlight w:val="none"/>
              </w:rPr>
            </w:pPr>
            <w:r>
              <w:rPr>
                <w:rFonts w:hint="eastAsia" w:ascii="宋体" w:hAnsi="宋体" w:cs="宋体"/>
                <w:sz w:val="28"/>
                <w:szCs w:val="24"/>
                <w:highlight w:val="none"/>
              </w:rPr>
              <w:t>1.未按照规范和要求进行安全防护，扣1分。</w:t>
            </w:r>
            <w:r>
              <w:rPr>
                <w:rFonts w:hint="eastAsia" w:ascii="宋体" w:hAnsi="宋体" w:cs="宋体"/>
                <w:sz w:val="28"/>
                <w:szCs w:val="24"/>
                <w:highlight w:val="none"/>
              </w:rPr>
              <w:br w:type="textWrapping"/>
            </w:r>
            <w:r>
              <w:rPr>
                <w:rFonts w:hint="eastAsia" w:ascii="宋体" w:hAnsi="宋体" w:cs="宋体"/>
                <w:sz w:val="28"/>
                <w:szCs w:val="24"/>
                <w:highlight w:val="none"/>
              </w:rPr>
              <w:t>2.夜间作业时，未在作业区域设置照明设施,扣1分。</w:t>
            </w:r>
            <w:r>
              <w:rPr>
                <w:rFonts w:hint="eastAsia" w:ascii="宋体" w:hAnsi="宋体" w:cs="宋体"/>
                <w:sz w:val="28"/>
                <w:szCs w:val="24"/>
                <w:highlight w:val="none"/>
              </w:rPr>
              <w:br w:type="textWrapping"/>
            </w:r>
            <w:r>
              <w:rPr>
                <w:rFonts w:hint="eastAsia" w:ascii="宋体" w:hAnsi="宋体" w:cs="宋体"/>
                <w:sz w:val="28"/>
                <w:szCs w:val="24"/>
                <w:highlight w:val="none"/>
              </w:rPr>
              <w:t>3.无基坑支护,扣1分。</w:t>
            </w:r>
            <w:r>
              <w:rPr>
                <w:rFonts w:hint="eastAsia" w:ascii="宋体" w:hAnsi="宋体" w:cs="宋体"/>
                <w:sz w:val="28"/>
                <w:szCs w:val="24"/>
                <w:highlight w:val="none"/>
              </w:rPr>
              <w:br w:type="textWrapping"/>
            </w:r>
            <w:r>
              <w:rPr>
                <w:rFonts w:hint="eastAsia" w:ascii="宋体" w:hAnsi="宋体" w:cs="宋体"/>
                <w:sz w:val="28"/>
                <w:szCs w:val="24"/>
                <w:highlight w:val="none"/>
              </w:rPr>
              <w:t>4.发生安全事故的，一票否决，本次考核不得分。</w:t>
            </w:r>
          </w:p>
        </w:tc>
        <w:tc>
          <w:tcPr>
            <w:tcW w:w="576" w:type="dxa"/>
            <w:noWrap w:val="0"/>
            <w:vAlign w:val="center"/>
          </w:tcPr>
          <w:p w14:paraId="213750B7">
            <w:pPr>
              <w:spacing w:line="300" w:lineRule="exact"/>
              <w:jc w:val="center"/>
              <w:rPr>
                <w:rFonts w:hint="eastAsia" w:ascii="宋体" w:hAnsi="宋体" w:cs="宋体"/>
                <w:sz w:val="28"/>
                <w:szCs w:val="24"/>
                <w:highlight w:val="none"/>
              </w:rPr>
            </w:pPr>
          </w:p>
        </w:tc>
        <w:tc>
          <w:tcPr>
            <w:tcW w:w="1065" w:type="dxa"/>
            <w:noWrap w:val="0"/>
            <w:vAlign w:val="center"/>
          </w:tcPr>
          <w:p w14:paraId="1C1E1968">
            <w:pPr>
              <w:spacing w:line="300" w:lineRule="exact"/>
              <w:jc w:val="center"/>
              <w:rPr>
                <w:rFonts w:hint="eastAsia" w:ascii="宋体" w:hAnsi="宋体" w:cs="宋体"/>
                <w:sz w:val="28"/>
                <w:szCs w:val="24"/>
                <w:highlight w:val="none"/>
              </w:rPr>
            </w:pPr>
          </w:p>
        </w:tc>
      </w:tr>
      <w:tr w14:paraId="3B64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continue"/>
            <w:noWrap w:val="0"/>
            <w:vAlign w:val="top"/>
          </w:tcPr>
          <w:p w14:paraId="042CA7AD">
            <w:pPr>
              <w:spacing w:line="300" w:lineRule="exact"/>
              <w:rPr>
                <w:rFonts w:hint="eastAsia" w:ascii="宋体" w:hAnsi="宋体" w:cs="宋体"/>
                <w:sz w:val="28"/>
                <w:szCs w:val="24"/>
                <w:highlight w:val="none"/>
              </w:rPr>
            </w:pPr>
          </w:p>
        </w:tc>
        <w:tc>
          <w:tcPr>
            <w:tcW w:w="1537" w:type="dxa"/>
            <w:gridSpan w:val="2"/>
            <w:noWrap w:val="0"/>
            <w:vAlign w:val="center"/>
          </w:tcPr>
          <w:p w14:paraId="6E346FA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消防安全</w:t>
            </w:r>
          </w:p>
        </w:tc>
        <w:tc>
          <w:tcPr>
            <w:tcW w:w="585" w:type="dxa"/>
            <w:noWrap w:val="0"/>
            <w:vAlign w:val="center"/>
          </w:tcPr>
          <w:p w14:paraId="3D48FCB8">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1.5</w:t>
            </w:r>
          </w:p>
        </w:tc>
        <w:tc>
          <w:tcPr>
            <w:tcW w:w="4627" w:type="dxa"/>
            <w:gridSpan w:val="3"/>
            <w:noWrap w:val="0"/>
            <w:vAlign w:val="center"/>
          </w:tcPr>
          <w:p w14:paraId="418A5EE0">
            <w:pPr>
              <w:spacing w:line="300" w:lineRule="exact"/>
              <w:rPr>
                <w:rFonts w:hint="eastAsia" w:ascii="宋体" w:hAnsi="宋体" w:cs="宋体"/>
                <w:sz w:val="28"/>
                <w:szCs w:val="24"/>
                <w:highlight w:val="none"/>
              </w:rPr>
            </w:pPr>
            <w:r>
              <w:rPr>
                <w:rFonts w:hint="eastAsia" w:ascii="宋体" w:hAnsi="宋体" w:cs="宋体"/>
                <w:sz w:val="28"/>
                <w:szCs w:val="24"/>
                <w:highlight w:val="none"/>
              </w:rPr>
              <w:t>1.消防器材不到位，扣1分。</w:t>
            </w:r>
            <w:r>
              <w:rPr>
                <w:rFonts w:hint="eastAsia" w:ascii="宋体" w:hAnsi="宋体" w:cs="宋体"/>
                <w:sz w:val="28"/>
                <w:szCs w:val="24"/>
                <w:highlight w:val="none"/>
              </w:rPr>
              <w:br w:type="textWrapping"/>
            </w:r>
            <w:r>
              <w:rPr>
                <w:rFonts w:hint="eastAsia" w:ascii="宋体" w:hAnsi="宋体" w:cs="宋体"/>
                <w:sz w:val="28"/>
                <w:szCs w:val="24"/>
                <w:highlight w:val="none"/>
              </w:rPr>
              <w:t>2.无消防器材检查记录，扣0.5分。</w:t>
            </w:r>
          </w:p>
        </w:tc>
        <w:tc>
          <w:tcPr>
            <w:tcW w:w="576" w:type="dxa"/>
            <w:noWrap w:val="0"/>
            <w:vAlign w:val="center"/>
          </w:tcPr>
          <w:p w14:paraId="7F94E65A">
            <w:pPr>
              <w:spacing w:line="300" w:lineRule="exact"/>
              <w:jc w:val="center"/>
              <w:rPr>
                <w:rFonts w:hint="eastAsia" w:ascii="宋体" w:hAnsi="宋体" w:cs="宋体"/>
                <w:sz w:val="28"/>
                <w:szCs w:val="24"/>
                <w:highlight w:val="none"/>
              </w:rPr>
            </w:pPr>
          </w:p>
        </w:tc>
        <w:tc>
          <w:tcPr>
            <w:tcW w:w="1065" w:type="dxa"/>
            <w:noWrap w:val="0"/>
            <w:vAlign w:val="center"/>
          </w:tcPr>
          <w:p w14:paraId="4BD21FAF">
            <w:pPr>
              <w:spacing w:line="300" w:lineRule="exact"/>
              <w:jc w:val="center"/>
              <w:rPr>
                <w:rFonts w:hint="eastAsia" w:ascii="宋体" w:hAnsi="宋体" w:cs="宋体"/>
                <w:sz w:val="28"/>
                <w:szCs w:val="24"/>
                <w:highlight w:val="none"/>
              </w:rPr>
            </w:pPr>
          </w:p>
        </w:tc>
      </w:tr>
      <w:tr w14:paraId="2F3B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continue"/>
            <w:noWrap w:val="0"/>
            <w:vAlign w:val="top"/>
          </w:tcPr>
          <w:p w14:paraId="27AE9011">
            <w:pPr>
              <w:spacing w:line="300" w:lineRule="exact"/>
              <w:rPr>
                <w:rFonts w:hint="eastAsia" w:ascii="宋体" w:hAnsi="宋体" w:cs="宋体"/>
                <w:sz w:val="28"/>
                <w:szCs w:val="24"/>
                <w:highlight w:val="none"/>
              </w:rPr>
            </w:pPr>
          </w:p>
        </w:tc>
        <w:tc>
          <w:tcPr>
            <w:tcW w:w="1537" w:type="dxa"/>
            <w:gridSpan w:val="2"/>
            <w:noWrap w:val="0"/>
            <w:vAlign w:val="center"/>
          </w:tcPr>
          <w:p w14:paraId="52FBE4A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有限空间作业</w:t>
            </w:r>
          </w:p>
        </w:tc>
        <w:tc>
          <w:tcPr>
            <w:tcW w:w="585" w:type="dxa"/>
            <w:noWrap w:val="0"/>
            <w:vAlign w:val="center"/>
          </w:tcPr>
          <w:p w14:paraId="33A35947">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2.5</w:t>
            </w:r>
          </w:p>
        </w:tc>
        <w:tc>
          <w:tcPr>
            <w:tcW w:w="4627" w:type="dxa"/>
            <w:gridSpan w:val="3"/>
            <w:noWrap w:val="0"/>
            <w:vAlign w:val="center"/>
          </w:tcPr>
          <w:p w14:paraId="55E10314">
            <w:pPr>
              <w:spacing w:line="300" w:lineRule="exact"/>
              <w:rPr>
                <w:rFonts w:hint="eastAsia" w:ascii="宋体" w:hAnsi="宋体" w:cs="宋体"/>
                <w:sz w:val="28"/>
                <w:szCs w:val="24"/>
                <w:highlight w:val="none"/>
              </w:rPr>
            </w:pPr>
            <w:r>
              <w:rPr>
                <w:rFonts w:hint="eastAsia" w:ascii="宋体" w:hAnsi="宋体" w:cs="宋体"/>
                <w:sz w:val="28"/>
                <w:szCs w:val="24"/>
                <w:highlight w:val="none"/>
              </w:rPr>
              <w:t>1.无管理制度作业审批流程，扣 0.5 分。</w:t>
            </w:r>
            <w:r>
              <w:rPr>
                <w:rFonts w:hint="eastAsia" w:ascii="宋体" w:hAnsi="宋体" w:cs="宋体"/>
                <w:sz w:val="28"/>
                <w:szCs w:val="24"/>
                <w:highlight w:val="none"/>
              </w:rPr>
              <w:br w:type="textWrapping"/>
            </w:r>
            <w:r>
              <w:rPr>
                <w:rFonts w:hint="eastAsia" w:ascii="宋体" w:hAnsi="宋体" w:cs="宋体"/>
                <w:sz w:val="28"/>
                <w:szCs w:val="24"/>
                <w:highlight w:val="none"/>
              </w:rPr>
              <w:t>2.现场未按有限空间作业流程进行作业，扣 1 分。</w:t>
            </w:r>
            <w:r>
              <w:rPr>
                <w:rFonts w:hint="eastAsia" w:ascii="宋体" w:hAnsi="宋体" w:cs="宋体"/>
                <w:sz w:val="28"/>
                <w:szCs w:val="24"/>
                <w:highlight w:val="none"/>
              </w:rPr>
              <w:br w:type="textWrapping"/>
            </w:r>
            <w:r>
              <w:rPr>
                <w:rFonts w:hint="eastAsia" w:ascii="宋体" w:hAnsi="宋体" w:cs="宋体"/>
                <w:sz w:val="28"/>
                <w:szCs w:val="24"/>
                <w:highlight w:val="none"/>
              </w:rPr>
              <w:t>3.现场无监管人员，扣0.5分。</w:t>
            </w:r>
            <w:r>
              <w:rPr>
                <w:rFonts w:hint="eastAsia" w:ascii="宋体" w:hAnsi="宋体" w:cs="宋体"/>
                <w:sz w:val="28"/>
                <w:szCs w:val="24"/>
                <w:highlight w:val="none"/>
              </w:rPr>
              <w:br w:type="textWrapping"/>
            </w:r>
            <w:r>
              <w:rPr>
                <w:rFonts w:hint="eastAsia" w:ascii="宋体" w:hAnsi="宋体" w:cs="宋体"/>
                <w:sz w:val="28"/>
                <w:szCs w:val="24"/>
                <w:highlight w:val="none"/>
              </w:rPr>
              <w:t>4.未配备或缺少有限空间作业防护用具扣0.5 分。</w:t>
            </w:r>
          </w:p>
        </w:tc>
        <w:tc>
          <w:tcPr>
            <w:tcW w:w="576" w:type="dxa"/>
            <w:noWrap w:val="0"/>
            <w:vAlign w:val="center"/>
          </w:tcPr>
          <w:p w14:paraId="31B4218B">
            <w:pPr>
              <w:spacing w:line="300" w:lineRule="exact"/>
              <w:jc w:val="center"/>
              <w:rPr>
                <w:rFonts w:hint="eastAsia" w:ascii="宋体" w:hAnsi="宋体" w:cs="宋体"/>
                <w:sz w:val="28"/>
                <w:szCs w:val="24"/>
                <w:highlight w:val="none"/>
              </w:rPr>
            </w:pPr>
          </w:p>
        </w:tc>
        <w:tc>
          <w:tcPr>
            <w:tcW w:w="1065" w:type="dxa"/>
            <w:noWrap w:val="0"/>
            <w:vAlign w:val="center"/>
          </w:tcPr>
          <w:p w14:paraId="680439AB">
            <w:pPr>
              <w:spacing w:line="300" w:lineRule="exact"/>
              <w:jc w:val="center"/>
              <w:rPr>
                <w:rFonts w:hint="eastAsia" w:ascii="宋体" w:hAnsi="宋体" w:cs="宋体"/>
                <w:sz w:val="28"/>
                <w:szCs w:val="24"/>
                <w:highlight w:val="none"/>
              </w:rPr>
            </w:pPr>
          </w:p>
        </w:tc>
      </w:tr>
      <w:tr w14:paraId="1DE7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continue"/>
            <w:noWrap w:val="0"/>
            <w:vAlign w:val="top"/>
          </w:tcPr>
          <w:p w14:paraId="56EF2439">
            <w:pPr>
              <w:spacing w:line="300" w:lineRule="exact"/>
              <w:rPr>
                <w:rFonts w:hint="eastAsia" w:ascii="宋体" w:hAnsi="宋体" w:cs="宋体"/>
                <w:sz w:val="28"/>
                <w:szCs w:val="24"/>
                <w:highlight w:val="none"/>
              </w:rPr>
            </w:pPr>
          </w:p>
        </w:tc>
        <w:tc>
          <w:tcPr>
            <w:tcW w:w="1537" w:type="dxa"/>
            <w:gridSpan w:val="2"/>
            <w:noWrap w:val="0"/>
            <w:vAlign w:val="center"/>
          </w:tcPr>
          <w:p w14:paraId="3CE1DDB4">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安全警示服</w:t>
            </w:r>
          </w:p>
          <w:p w14:paraId="6E1C316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及防护用品</w:t>
            </w:r>
          </w:p>
          <w:p w14:paraId="7C40CDF9">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配备</w:t>
            </w:r>
          </w:p>
        </w:tc>
        <w:tc>
          <w:tcPr>
            <w:tcW w:w="585" w:type="dxa"/>
            <w:noWrap w:val="0"/>
            <w:vAlign w:val="center"/>
          </w:tcPr>
          <w:p w14:paraId="01DEC23E">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1</w:t>
            </w:r>
          </w:p>
        </w:tc>
        <w:tc>
          <w:tcPr>
            <w:tcW w:w="4627" w:type="dxa"/>
            <w:gridSpan w:val="3"/>
            <w:noWrap w:val="0"/>
            <w:vAlign w:val="center"/>
          </w:tcPr>
          <w:p w14:paraId="20405E3E">
            <w:pPr>
              <w:spacing w:line="300" w:lineRule="exact"/>
              <w:rPr>
                <w:rFonts w:hint="eastAsia" w:ascii="宋体" w:hAnsi="宋体" w:cs="宋体"/>
                <w:sz w:val="28"/>
                <w:szCs w:val="24"/>
                <w:highlight w:val="none"/>
              </w:rPr>
            </w:pPr>
            <w:r>
              <w:rPr>
                <w:rFonts w:hint="eastAsia" w:ascii="宋体" w:hAnsi="宋体" w:cs="宋体"/>
                <w:sz w:val="28"/>
                <w:szCs w:val="24"/>
                <w:highlight w:val="none"/>
              </w:rPr>
              <w:t>1.未配备或缺少安全帽、反光背心及安全带等安全防护用品，扣0.5分。</w:t>
            </w:r>
          </w:p>
          <w:p w14:paraId="0D590DB4">
            <w:pPr>
              <w:spacing w:line="300" w:lineRule="exact"/>
              <w:rPr>
                <w:rFonts w:hint="eastAsia" w:ascii="宋体" w:hAnsi="宋体" w:cs="宋体"/>
                <w:sz w:val="28"/>
                <w:szCs w:val="24"/>
                <w:highlight w:val="none"/>
              </w:rPr>
            </w:pPr>
            <w:r>
              <w:rPr>
                <w:rFonts w:hint="eastAsia" w:ascii="宋体" w:hAnsi="宋体" w:cs="宋体"/>
                <w:sz w:val="28"/>
                <w:szCs w:val="24"/>
                <w:highlight w:val="none"/>
              </w:rPr>
              <w:t>2.未配备或缺少绝缘手套、绝缘鞋等防护用具，扣 0.5分。</w:t>
            </w:r>
          </w:p>
        </w:tc>
        <w:tc>
          <w:tcPr>
            <w:tcW w:w="576" w:type="dxa"/>
            <w:noWrap w:val="0"/>
            <w:vAlign w:val="center"/>
          </w:tcPr>
          <w:p w14:paraId="210BD4E8">
            <w:pPr>
              <w:spacing w:line="300" w:lineRule="exact"/>
              <w:jc w:val="center"/>
              <w:rPr>
                <w:rFonts w:hint="eastAsia" w:ascii="宋体" w:hAnsi="宋体" w:cs="宋体"/>
                <w:sz w:val="28"/>
                <w:szCs w:val="24"/>
                <w:highlight w:val="none"/>
              </w:rPr>
            </w:pPr>
          </w:p>
        </w:tc>
        <w:tc>
          <w:tcPr>
            <w:tcW w:w="1065" w:type="dxa"/>
            <w:noWrap w:val="0"/>
            <w:vAlign w:val="center"/>
          </w:tcPr>
          <w:p w14:paraId="6202F37D">
            <w:pPr>
              <w:spacing w:line="300" w:lineRule="exact"/>
              <w:jc w:val="center"/>
              <w:rPr>
                <w:rFonts w:hint="eastAsia" w:ascii="宋体" w:hAnsi="宋体" w:cs="宋体"/>
                <w:sz w:val="28"/>
                <w:szCs w:val="24"/>
                <w:highlight w:val="none"/>
              </w:rPr>
            </w:pPr>
          </w:p>
        </w:tc>
      </w:tr>
      <w:tr w14:paraId="6BDE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continue"/>
            <w:noWrap w:val="0"/>
            <w:vAlign w:val="top"/>
          </w:tcPr>
          <w:p w14:paraId="5E9ADDEB">
            <w:pPr>
              <w:spacing w:line="300" w:lineRule="exact"/>
              <w:rPr>
                <w:rFonts w:hint="eastAsia" w:ascii="宋体" w:hAnsi="宋体" w:cs="宋体"/>
                <w:sz w:val="28"/>
                <w:szCs w:val="24"/>
                <w:highlight w:val="none"/>
              </w:rPr>
            </w:pPr>
          </w:p>
        </w:tc>
        <w:tc>
          <w:tcPr>
            <w:tcW w:w="1537" w:type="dxa"/>
            <w:gridSpan w:val="2"/>
            <w:noWrap w:val="0"/>
            <w:vAlign w:val="center"/>
          </w:tcPr>
          <w:p w14:paraId="3BE2D67F">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安全会议</w:t>
            </w:r>
          </w:p>
        </w:tc>
        <w:tc>
          <w:tcPr>
            <w:tcW w:w="585" w:type="dxa"/>
            <w:noWrap w:val="0"/>
            <w:vAlign w:val="center"/>
          </w:tcPr>
          <w:p w14:paraId="244E2CC4">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1</w:t>
            </w:r>
          </w:p>
        </w:tc>
        <w:tc>
          <w:tcPr>
            <w:tcW w:w="4627" w:type="dxa"/>
            <w:gridSpan w:val="3"/>
            <w:noWrap w:val="0"/>
            <w:vAlign w:val="center"/>
          </w:tcPr>
          <w:p w14:paraId="0B1CD882">
            <w:pPr>
              <w:spacing w:line="300" w:lineRule="exact"/>
              <w:rPr>
                <w:rFonts w:hint="eastAsia" w:ascii="宋体" w:hAnsi="宋体" w:cs="宋体"/>
                <w:sz w:val="28"/>
                <w:szCs w:val="24"/>
                <w:highlight w:val="none"/>
              </w:rPr>
            </w:pPr>
            <w:r>
              <w:rPr>
                <w:rFonts w:hint="eastAsia" w:ascii="宋体" w:hAnsi="宋体" w:cs="宋体"/>
                <w:sz w:val="28"/>
                <w:szCs w:val="24"/>
                <w:highlight w:val="none"/>
              </w:rPr>
              <w:t>1.未按制度召开安全会议，缺次，扣0.5分。</w:t>
            </w:r>
            <w:r>
              <w:rPr>
                <w:rFonts w:hint="eastAsia" w:ascii="宋体" w:hAnsi="宋体" w:cs="宋体"/>
                <w:sz w:val="28"/>
                <w:szCs w:val="24"/>
                <w:highlight w:val="none"/>
              </w:rPr>
              <w:br w:type="textWrapping"/>
            </w:r>
            <w:r>
              <w:rPr>
                <w:rFonts w:hint="eastAsia" w:ascii="宋体" w:hAnsi="宋体" w:cs="宋体"/>
                <w:sz w:val="28"/>
                <w:szCs w:val="24"/>
                <w:highlight w:val="none"/>
              </w:rPr>
              <w:t>2.未留存安全会议纪要，缺份，扣 0.5分。</w:t>
            </w:r>
          </w:p>
        </w:tc>
        <w:tc>
          <w:tcPr>
            <w:tcW w:w="576" w:type="dxa"/>
            <w:noWrap w:val="0"/>
            <w:vAlign w:val="center"/>
          </w:tcPr>
          <w:p w14:paraId="02553F24">
            <w:pPr>
              <w:spacing w:line="300" w:lineRule="exact"/>
              <w:jc w:val="center"/>
              <w:rPr>
                <w:rFonts w:hint="eastAsia" w:ascii="宋体" w:hAnsi="宋体" w:cs="宋体"/>
                <w:sz w:val="28"/>
                <w:szCs w:val="24"/>
                <w:highlight w:val="none"/>
              </w:rPr>
            </w:pPr>
          </w:p>
        </w:tc>
        <w:tc>
          <w:tcPr>
            <w:tcW w:w="1065" w:type="dxa"/>
            <w:noWrap w:val="0"/>
            <w:vAlign w:val="center"/>
          </w:tcPr>
          <w:p w14:paraId="01B478B8">
            <w:pPr>
              <w:spacing w:line="300" w:lineRule="exact"/>
              <w:jc w:val="center"/>
              <w:rPr>
                <w:rFonts w:hint="eastAsia" w:ascii="宋体" w:hAnsi="宋体" w:cs="宋体"/>
                <w:sz w:val="28"/>
                <w:szCs w:val="24"/>
                <w:highlight w:val="none"/>
              </w:rPr>
            </w:pPr>
          </w:p>
        </w:tc>
      </w:tr>
      <w:tr w14:paraId="2C4D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Merge w:val="continue"/>
            <w:noWrap w:val="0"/>
            <w:vAlign w:val="top"/>
          </w:tcPr>
          <w:p w14:paraId="7D6B805C">
            <w:pPr>
              <w:spacing w:line="300" w:lineRule="exact"/>
              <w:rPr>
                <w:rFonts w:hint="eastAsia" w:ascii="宋体" w:hAnsi="宋体" w:cs="宋体"/>
                <w:sz w:val="28"/>
                <w:szCs w:val="24"/>
                <w:highlight w:val="none"/>
              </w:rPr>
            </w:pPr>
          </w:p>
        </w:tc>
        <w:tc>
          <w:tcPr>
            <w:tcW w:w="1537" w:type="dxa"/>
            <w:gridSpan w:val="2"/>
            <w:noWrap w:val="0"/>
            <w:vAlign w:val="center"/>
          </w:tcPr>
          <w:p w14:paraId="784C9DBD">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事故应急救</w:t>
            </w:r>
          </w:p>
          <w:p w14:paraId="32E76DF1">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援预案及演</w:t>
            </w:r>
          </w:p>
          <w:p w14:paraId="4A9BC24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练</w:t>
            </w:r>
          </w:p>
        </w:tc>
        <w:tc>
          <w:tcPr>
            <w:tcW w:w="585" w:type="dxa"/>
            <w:noWrap w:val="0"/>
            <w:vAlign w:val="center"/>
          </w:tcPr>
          <w:p w14:paraId="2021B209">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1.5</w:t>
            </w:r>
          </w:p>
        </w:tc>
        <w:tc>
          <w:tcPr>
            <w:tcW w:w="4627" w:type="dxa"/>
            <w:gridSpan w:val="3"/>
            <w:noWrap w:val="0"/>
            <w:vAlign w:val="center"/>
          </w:tcPr>
          <w:p w14:paraId="4A6B74CA">
            <w:pPr>
              <w:numPr>
                <w:ilvl w:val="0"/>
                <w:numId w:val="9"/>
              </w:numPr>
              <w:spacing w:line="300" w:lineRule="exact"/>
              <w:rPr>
                <w:rFonts w:hint="eastAsia" w:ascii="宋体" w:hAnsi="宋体" w:cs="宋体"/>
                <w:sz w:val="28"/>
                <w:szCs w:val="24"/>
                <w:highlight w:val="none"/>
              </w:rPr>
            </w:pPr>
            <w:r>
              <w:rPr>
                <w:rFonts w:hint="eastAsia" w:ascii="宋体" w:hAnsi="宋体" w:cs="宋体"/>
                <w:sz w:val="28"/>
                <w:szCs w:val="24"/>
                <w:highlight w:val="none"/>
              </w:rPr>
              <w:t>未按要求编制应急救援预案，缺项，扣0.5 分。</w:t>
            </w:r>
          </w:p>
          <w:p w14:paraId="7AD5F4A7">
            <w:pPr>
              <w:spacing w:line="300" w:lineRule="exact"/>
              <w:rPr>
                <w:rFonts w:hint="eastAsia" w:ascii="宋体" w:hAnsi="宋体" w:cs="宋体"/>
                <w:sz w:val="28"/>
                <w:szCs w:val="24"/>
                <w:highlight w:val="none"/>
              </w:rPr>
            </w:pPr>
            <w:r>
              <w:rPr>
                <w:rFonts w:hint="eastAsia" w:ascii="宋体" w:hAnsi="宋体" w:cs="宋体"/>
                <w:sz w:val="28"/>
                <w:szCs w:val="24"/>
                <w:highlight w:val="none"/>
              </w:rPr>
              <w:t>2.未进行应急救援演练，缺项，扣0.5分。</w:t>
            </w:r>
            <w:r>
              <w:rPr>
                <w:rFonts w:hint="eastAsia" w:ascii="宋体" w:hAnsi="宋体" w:cs="宋体"/>
                <w:sz w:val="28"/>
                <w:szCs w:val="24"/>
                <w:highlight w:val="none"/>
              </w:rPr>
              <w:br w:type="textWrapping"/>
            </w:r>
            <w:r>
              <w:rPr>
                <w:rFonts w:hint="eastAsia" w:ascii="宋体" w:hAnsi="宋体" w:cs="宋体"/>
                <w:sz w:val="28"/>
                <w:szCs w:val="24"/>
                <w:highlight w:val="none"/>
              </w:rPr>
              <w:t>3.未留存应急救援演练记录。或记录不齐全，缺项，扣0.5 分。</w:t>
            </w:r>
          </w:p>
        </w:tc>
        <w:tc>
          <w:tcPr>
            <w:tcW w:w="576" w:type="dxa"/>
            <w:noWrap w:val="0"/>
            <w:vAlign w:val="center"/>
          </w:tcPr>
          <w:p w14:paraId="776649DB">
            <w:pPr>
              <w:spacing w:line="300" w:lineRule="exact"/>
              <w:jc w:val="center"/>
              <w:rPr>
                <w:rFonts w:hint="eastAsia" w:ascii="宋体" w:hAnsi="宋体" w:cs="宋体"/>
                <w:sz w:val="28"/>
                <w:szCs w:val="24"/>
                <w:highlight w:val="none"/>
              </w:rPr>
            </w:pPr>
          </w:p>
        </w:tc>
        <w:tc>
          <w:tcPr>
            <w:tcW w:w="1065" w:type="dxa"/>
            <w:noWrap w:val="0"/>
            <w:vAlign w:val="center"/>
          </w:tcPr>
          <w:p w14:paraId="7EE9701E">
            <w:pPr>
              <w:spacing w:line="300" w:lineRule="exact"/>
              <w:jc w:val="center"/>
              <w:rPr>
                <w:rFonts w:hint="eastAsia" w:ascii="宋体" w:hAnsi="宋体" w:cs="宋体"/>
                <w:sz w:val="28"/>
                <w:szCs w:val="24"/>
                <w:highlight w:val="none"/>
              </w:rPr>
            </w:pPr>
          </w:p>
        </w:tc>
      </w:tr>
      <w:tr w14:paraId="4AA2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restart"/>
            <w:noWrap w:val="0"/>
            <w:vAlign w:val="center"/>
          </w:tcPr>
          <w:p w14:paraId="5B69CEE7">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治污减霾</w:t>
            </w:r>
          </w:p>
        </w:tc>
        <w:tc>
          <w:tcPr>
            <w:tcW w:w="1537" w:type="dxa"/>
            <w:gridSpan w:val="2"/>
            <w:noWrap w:val="0"/>
            <w:vAlign w:val="center"/>
          </w:tcPr>
          <w:p w14:paraId="5B720F9C">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六个百分百</w:t>
            </w:r>
          </w:p>
        </w:tc>
        <w:tc>
          <w:tcPr>
            <w:tcW w:w="585" w:type="dxa"/>
            <w:noWrap w:val="0"/>
            <w:vAlign w:val="center"/>
          </w:tcPr>
          <w:p w14:paraId="5F8DC2CC">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627" w:type="dxa"/>
            <w:gridSpan w:val="3"/>
            <w:noWrap w:val="0"/>
            <w:vAlign w:val="center"/>
          </w:tcPr>
          <w:p w14:paraId="6617F2D7">
            <w:pPr>
              <w:spacing w:line="300" w:lineRule="exact"/>
              <w:rPr>
                <w:rFonts w:hint="eastAsia" w:ascii="宋体" w:hAnsi="宋体" w:cs="宋体"/>
                <w:sz w:val="28"/>
                <w:szCs w:val="24"/>
                <w:highlight w:val="none"/>
              </w:rPr>
            </w:pPr>
            <w:r>
              <w:rPr>
                <w:rFonts w:hint="eastAsia" w:ascii="宋体" w:hAnsi="宋体" w:cs="宋体"/>
                <w:sz w:val="28"/>
                <w:szCs w:val="24"/>
                <w:highlight w:val="none"/>
              </w:rPr>
              <w:t>1.施工区域未100%标准围挡，扣0.5分。</w:t>
            </w:r>
            <w:r>
              <w:rPr>
                <w:rFonts w:hint="eastAsia" w:ascii="宋体" w:hAnsi="宋体" w:cs="宋体"/>
                <w:sz w:val="28"/>
                <w:szCs w:val="24"/>
                <w:highlight w:val="none"/>
              </w:rPr>
              <w:br w:type="textWrapping"/>
            </w:r>
            <w:r>
              <w:rPr>
                <w:rFonts w:hint="eastAsia" w:ascii="宋体" w:hAnsi="宋体" w:cs="宋体"/>
                <w:sz w:val="28"/>
                <w:szCs w:val="24"/>
                <w:highlight w:val="none"/>
              </w:rPr>
              <w:t>2.裸露黄土未100%覆盖，扣0.5分。</w:t>
            </w:r>
            <w:r>
              <w:rPr>
                <w:rFonts w:hint="eastAsia" w:ascii="宋体" w:hAnsi="宋体" w:cs="宋体"/>
                <w:sz w:val="28"/>
                <w:szCs w:val="24"/>
                <w:highlight w:val="none"/>
              </w:rPr>
              <w:br w:type="textWrapping"/>
            </w:r>
            <w:r>
              <w:rPr>
                <w:rFonts w:hint="eastAsia" w:ascii="宋体" w:hAnsi="宋体" w:cs="宋体"/>
                <w:sz w:val="28"/>
                <w:szCs w:val="24"/>
                <w:highlight w:val="none"/>
              </w:rPr>
              <w:t>3.施工道路未100%硬化，扣0.5分。</w:t>
            </w:r>
            <w:r>
              <w:rPr>
                <w:rFonts w:hint="eastAsia" w:ascii="宋体" w:hAnsi="宋体" w:cs="宋体"/>
                <w:sz w:val="28"/>
                <w:szCs w:val="24"/>
                <w:highlight w:val="none"/>
              </w:rPr>
              <w:br w:type="textWrapping"/>
            </w:r>
            <w:r>
              <w:rPr>
                <w:rFonts w:hint="eastAsia" w:ascii="宋体" w:hAnsi="宋体" w:cs="宋体"/>
                <w:sz w:val="28"/>
                <w:szCs w:val="24"/>
                <w:highlight w:val="none"/>
              </w:rPr>
              <w:t>4.渣土运输车辆未100%密闭拉运，扣0.5分。</w:t>
            </w:r>
            <w:r>
              <w:rPr>
                <w:rFonts w:hint="eastAsia" w:ascii="宋体" w:hAnsi="宋体" w:cs="宋体"/>
                <w:sz w:val="28"/>
                <w:szCs w:val="24"/>
                <w:highlight w:val="none"/>
              </w:rPr>
              <w:br w:type="textWrapping"/>
            </w:r>
            <w:r>
              <w:rPr>
                <w:rFonts w:hint="eastAsia" w:ascii="宋体" w:hAnsi="宋体" w:cs="宋体"/>
                <w:sz w:val="28"/>
                <w:szCs w:val="24"/>
                <w:highlight w:val="none"/>
              </w:rPr>
              <w:t>5.施工现场出入车辆未100%冲洗清洁，扣0.5分。</w:t>
            </w:r>
            <w:r>
              <w:rPr>
                <w:rFonts w:hint="eastAsia" w:ascii="宋体" w:hAnsi="宋体" w:cs="宋体"/>
                <w:sz w:val="28"/>
                <w:szCs w:val="24"/>
                <w:highlight w:val="none"/>
              </w:rPr>
              <w:br w:type="textWrapping"/>
            </w:r>
            <w:r>
              <w:rPr>
                <w:rFonts w:hint="eastAsia" w:ascii="宋体" w:hAnsi="宋体" w:cs="宋体"/>
                <w:sz w:val="28"/>
                <w:szCs w:val="24"/>
                <w:highlight w:val="none"/>
              </w:rPr>
              <w:t>6.建筑物拆除未100%湿法作业，扣0.5分。。</w:t>
            </w:r>
          </w:p>
        </w:tc>
        <w:tc>
          <w:tcPr>
            <w:tcW w:w="576" w:type="dxa"/>
            <w:noWrap w:val="0"/>
            <w:vAlign w:val="center"/>
          </w:tcPr>
          <w:p w14:paraId="289B67E0">
            <w:pPr>
              <w:spacing w:line="300" w:lineRule="exact"/>
              <w:jc w:val="center"/>
              <w:rPr>
                <w:rFonts w:hint="eastAsia" w:ascii="宋体" w:hAnsi="宋体" w:cs="宋体"/>
                <w:sz w:val="28"/>
                <w:szCs w:val="24"/>
                <w:highlight w:val="none"/>
              </w:rPr>
            </w:pPr>
          </w:p>
        </w:tc>
        <w:tc>
          <w:tcPr>
            <w:tcW w:w="1065" w:type="dxa"/>
            <w:noWrap w:val="0"/>
            <w:vAlign w:val="center"/>
          </w:tcPr>
          <w:p w14:paraId="2A4DFFD6">
            <w:pPr>
              <w:spacing w:line="300" w:lineRule="exact"/>
              <w:jc w:val="center"/>
              <w:rPr>
                <w:rFonts w:hint="eastAsia" w:ascii="宋体" w:hAnsi="宋体" w:cs="宋体"/>
                <w:sz w:val="28"/>
                <w:szCs w:val="24"/>
                <w:highlight w:val="none"/>
              </w:rPr>
            </w:pPr>
          </w:p>
        </w:tc>
      </w:tr>
      <w:tr w14:paraId="7569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noWrap w:val="0"/>
            <w:vAlign w:val="top"/>
          </w:tcPr>
          <w:p w14:paraId="309CB482">
            <w:pPr>
              <w:spacing w:line="300" w:lineRule="exact"/>
              <w:rPr>
                <w:rFonts w:hint="eastAsia" w:ascii="宋体" w:hAnsi="宋体" w:cs="宋体"/>
                <w:sz w:val="28"/>
                <w:szCs w:val="24"/>
                <w:highlight w:val="none"/>
              </w:rPr>
            </w:pPr>
          </w:p>
        </w:tc>
        <w:tc>
          <w:tcPr>
            <w:tcW w:w="1537" w:type="dxa"/>
            <w:gridSpan w:val="2"/>
            <w:noWrap w:val="0"/>
            <w:vAlign w:val="top"/>
          </w:tcPr>
          <w:p w14:paraId="2FBBCABD">
            <w:pPr>
              <w:spacing w:line="360" w:lineRule="auto"/>
              <w:ind w:firstLine="548" w:firstLineChars="196"/>
              <w:jc w:val="center"/>
              <w:rPr>
                <w:rFonts w:hint="eastAsia" w:ascii="宋体" w:hAnsi="宋体" w:cs="宋体"/>
                <w:sz w:val="28"/>
                <w:szCs w:val="24"/>
                <w:highlight w:val="none"/>
              </w:rPr>
            </w:pPr>
          </w:p>
          <w:p w14:paraId="15FE2D0B">
            <w:pPr>
              <w:spacing w:line="360" w:lineRule="auto"/>
              <w:rPr>
                <w:rFonts w:hint="eastAsia" w:ascii="宋体" w:hAnsi="宋体" w:cs="宋体"/>
                <w:sz w:val="28"/>
                <w:szCs w:val="24"/>
                <w:highlight w:val="none"/>
              </w:rPr>
            </w:pPr>
          </w:p>
          <w:p w14:paraId="45B3D449">
            <w:pPr>
              <w:spacing w:line="360" w:lineRule="auto"/>
              <w:jc w:val="center"/>
              <w:rPr>
                <w:rFonts w:hint="eastAsia" w:ascii="宋体" w:hAnsi="宋体" w:cs="宋体"/>
                <w:sz w:val="28"/>
                <w:szCs w:val="24"/>
                <w:highlight w:val="none"/>
              </w:rPr>
            </w:pPr>
            <w:r>
              <w:rPr>
                <w:rFonts w:hint="eastAsia" w:ascii="宋体" w:hAnsi="宋体" w:cs="宋体"/>
                <w:sz w:val="28"/>
                <w:szCs w:val="24"/>
                <w:highlight w:val="none"/>
              </w:rPr>
              <w:t>七个到位</w:t>
            </w:r>
          </w:p>
          <w:p w14:paraId="6E71866D">
            <w:pPr>
              <w:spacing w:line="300" w:lineRule="exact"/>
              <w:jc w:val="center"/>
              <w:rPr>
                <w:rFonts w:hint="eastAsia" w:ascii="宋体" w:hAnsi="宋体" w:cs="宋体"/>
                <w:sz w:val="28"/>
                <w:szCs w:val="24"/>
                <w:highlight w:val="none"/>
              </w:rPr>
            </w:pPr>
          </w:p>
        </w:tc>
        <w:tc>
          <w:tcPr>
            <w:tcW w:w="585" w:type="dxa"/>
            <w:noWrap w:val="0"/>
            <w:vAlign w:val="center"/>
          </w:tcPr>
          <w:p w14:paraId="0630015E">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627" w:type="dxa"/>
            <w:gridSpan w:val="3"/>
            <w:noWrap w:val="0"/>
            <w:vAlign w:val="center"/>
          </w:tcPr>
          <w:p w14:paraId="3BD68612">
            <w:pPr>
              <w:spacing w:line="300" w:lineRule="exact"/>
              <w:rPr>
                <w:rFonts w:hint="eastAsia" w:ascii="宋体" w:hAnsi="宋体" w:cs="宋体"/>
                <w:sz w:val="28"/>
                <w:szCs w:val="24"/>
                <w:highlight w:val="none"/>
              </w:rPr>
            </w:pPr>
            <w:r>
              <w:rPr>
                <w:rFonts w:hint="eastAsia" w:ascii="宋体" w:hAnsi="宋体" w:cs="宋体"/>
                <w:sz w:val="28"/>
                <w:szCs w:val="24"/>
                <w:highlight w:val="none"/>
              </w:rPr>
              <w:t>1.出土工地和拆迁工地施工围挡未到位，扣0.3分。</w:t>
            </w:r>
          </w:p>
          <w:p w14:paraId="7E0862E5">
            <w:pPr>
              <w:spacing w:line="300" w:lineRule="exact"/>
              <w:rPr>
                <w:rFonts w:hint="eastAsia" w:ascii="宋体" w:hAnsi="宋体" w:cs="宋体"/>
                <w:sz w:val="28"/>
                <w:szCs w:val="24"/>
                <w:highlight w:val="none"/>
              </w:rPr>
            </w:pPr>
            <w:r>
              <w:rPr>
                <w:rFonts w:hint="eastAsia" w:ascii="宋体" w:hAnsi="宋体" w:cs="宋体"/>
                <w:sz w:val="28"/>
                <w:szCs w:val="24"/>
                <w:highlight w:val="none"/>
              </w:rPr>
              <w:t>2.出入口道路混凝土路面硬化未到位，扣0.2分。</w:t>
            </w:r>
          </w:p>
          <w:p w14:paraId="44B22570">
            <w:pPr>
              <w:spacing w:line="300" w:lineRule="exact"/>
              <w:rPr>
                <w:rFonts w:hint="eastAsia" w:ascii="宋体" w:hAnsi="宋体" w:cs="宋体"/>
                <w:sz w:val="28"/>
                <w:szCs w:val="24"/>
                <w:highlight w:val="none"/>
              </w:rPr>
            </w:pPr>
            <w:r>
              <w:rPr>
                <w:rFonts w:hint="eastAsia" w:ascii="宋体" w:hAnsi="宋体" w:cs="宋体"/>
                <w:sz w:val="28"/>
                <w:szCs w:val="24"/>
                <w:highlight w:val="none"/>
              </w:rPr>
              <w:t>3.坑坡道硬化未处理到位，扣0.3分。</w:t>
            </w:r>
          </w:p>
          <w:p w14:paraId="52648A73">
            <w:pPr>
              <w:spacing w:line="300" w:lineRule="exact"/>
              <w:rPr>
                <w:rFonts w:hint="eastAsia" w:ascii="宋体" w:hAnsi="宋体" w:cs="宋体"/>
                <w:sz w:val="28"/>
                <w:szCs w:val="24"/>
                <w:highlight w:val="none"/>
              </w:rPr>
            </w:pPr>
            <w:r>
              <w:rPr>
                <w:rFonts w:hint="eastAsia" w:ascii="宋体" w:hAnsi="宋体" w:cs="宋体"/>
                <w:sz w:val="28"/>
                <w:szCs w:val="24"/>
                <w:highlight w:val="none"/>
              </w:rPr>
              <w:t>4.自动冲洗设备安装和使用未到位，扣0.3分。</w:t>
            </w:r>
          </w:p>
          <w:p w14:paraId="3B2A2BDA">
            <w:pPr>
              <w:spacing w:line="300" w:lineRule="exact"/>
              <w:rPr>
                <w:rFonts w:hint="eastAsia" w:ascii="宋体" w:hAnsi="宋体" w:cs="宋体"/>
                <w:sz w:val="28"/>
                <w:szCs w:val="24"/>
                <w:highlight w:val="none"/>
              </w:rPr>
            </w:pPr>
            <w:r>
              <w:rPr>
                <w:rFonts w:hint="eastAsia" w:ascii="宋体" w:hAnsi="宋体" w:cs="宋体"/>
                <w:sz w:val="28"/>
                <w:szCs w:val="24"/>
                <w:highlight w:val="none"/>
              </w:rPr>
              <w:t>5.筑垃圾运输车辆未密闭到位，扣0.3分。</w:t>
            </w:r>
          </w:p>
          <w:p w14:paraId="0E8BEC6A">
            <w:pPr>
              <w:spacing w:line="300" w:lineRule="exact"/>
              <w:rPr>
                <w:rFonts w:hint="eastAsia" w:ascii="宋体" w:hAnsi="宋体" w:cs="宋体"/>
                <w:sz w:val="28"/>
                <w:szCs w:val="24"/>
                <w:highlight w:val="none"/>
              </w:rPr>
            </w:pPr>
            <w:r>
              <w:rPr>
                <w:rFonts w:hint="eastAsia" w:ascii="宋体" w:hAnsi="宋体" w:cs="宋体"/>
                <w:sz w:val="28"/>
                <w:szCs w:val="24"/>
                <w:highlight w:val="none"/>
              </w:rPr>
              <w:t>6.迁工地拆除过程中使用专业降尘设施湿法作业未到位，扣0.3分。</w:t>
            </w:r>
          </w:p>
          <w:p w14:paraId="05DCB7F8">
            <w:pPr>
              <w:spacing w:line="300" w:lineRule="exact"/>
              <w:rPr>
                <w:rFonts w:hint="eastAsia" w:ascii="宋体" w:hAnsi="宋体" w:cs="宋体"/>
                <w:sz w:val="28"/>
                <w:szCs w:val="24"/>
                <w:highlight w:val="none"/>
              </w:rPr>
            </w:pPr>
            <w:r>
              <w:rPr>
                <w:rFonts w:hint="eastAsia" w:ascii="宋体" w:hAnsi="宋体" w:cs="宋体"/>
                <w:sz w:val="28"/>
                <w:szCs w:val="24"/>
                <w:highlight w:val="none"/>
              </w:rPr>
              <w:t>7.迁工地暂不开挖的裸露地面和2日内不清运的拆迁垃圾未覆盖到位，扣0.3分。</w:t>
            </w:r>
          </w:p>
        </w:tc>
        <w:tc>
          <w:tcPr>
            <w:tcW w:w="576" w:type="dxa"/>
            <w:noWrap w:val="0"/>
            <w:vAlign w:val="center"/>
          </w:tcPr>
          <w:p w14:paraId="59A01897">
            <w:pPr>
              <w:spacing w:line="300" w:lineRule="exact"/>
              <w:jc w:val="center"/>
              <w:rPr>
                <w:rFonts w:hint="eastAsia" w:ascii="宋体" w:hAnsi="宋体" w:cs="宋体"/>
                <w:sz w:val="28"/>
                <w:szCs w:val="24"/>
                <w:highlight w:val="none"/>
              </w:rPr>
            </w:pPr>
          </w:p>
        </w:tc>
        <w:tc>
          <w:tcPr>
            <w:tcW w:w="1065" w:type="dxa"/>
            <w:noWrap w:val="0"/>
            <w:vAlign w:val="center"/>
          </w:tcPr>
          <w:p w14:paraId="49D30DEC">
            <w:pPr>
              <w:spacing w:line="300" w:lineRule="exact"/>
              <w:jc w:val="center"/>
              <w:rPr>
                <w:rFonts w:hint="eastAsia" w:ascii="宋体" w:hAnsi="宋体" w:cs="宋体"/>
                <w:sz w:val="28"/>
                <w:szCs w:val="24"/>
                <w:highlight w:val="none"/>
              </w:rPr>
            </w:pPr>
          </w:p>
        </w:tc>
      </w:tr>
      <w:tr w14:paraId="0D4E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7" w:type="dxa"/>
            <w:gridSpan w:val="3"/>
            <w:noWrap w:val="0"/>
            <w:vAlign w:val="top"/>
          </w:tcPr>
          <w:p w14:paraId="25AC35E7">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6853" w:type="dxa"/>
            <w:gridSpan w:val="6"/>
            <w:noWrap w:val="0"/>
            <w:vAlign w:val="center"/>
          </w:tcPr>
          <w:p w14:paraId="451D2CEB">
            <w:pPr>
              <w:spacing w:line="300" w:lineRule="exact"/>
              <w:jc w:val="center"/>
              <w:rPr>
                <w:rFonts w:hint="eastAsia" w:ascii="宋体" w:hAnsi="宋体" w:cs="宋体"/>
                <w:sz w:val="28"/>
                <w:szCs w:val="24"/>
                <w:highlight w:val="none"/>
              </w:rPr>
            </w:pPr>
          </w:p>
        </w:tc>
      </w:tr>
      <w:tr w14:paraId="7DC4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9"/>
            <w:noWrap w:val="0"/>
            <w:vAlign w:val="top"/>
          </w:tcPr>
          <w:p w14:paraId="69EE9CD2">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安全质量中心签字：                                 日期：</w:t>
            </w:r>
          </w:p>
        </w:tc>
      </w:tr>
    </w:tbl>
    <w:p w14:paraId="14E66BAB">
      <w:pPr>
        <w:pStyle w:val="6"/>
        <w:ind w:firstLine="560"/>
        <w:rPr>
          <w:rFonts w:hint="eastAsia" w:ascii="宋体" w:hAnsi="宋体" w:cs="宋体"/>
          <w:sz w:val="28"/>
          <w:szCs w:val="28"/>
          <w:highlight w:val="none"/>
        </w:rPr>
      </w:pPr>
    </w:p>
    <w:p w14:paraId="593D6F17">
      <w:pPr>
        <w:pStyle w:val="6"/>
        <w:ind w:firstLine="560"/>
        <w:rPr>
          <w:rFonts w:hint="eastAsia" w:ascii="宋体" w:hAnsi="宋体" w:cs="宋体"/>
          <w:sz w:val="28"/>
          <w:szCs w:val="28"/>
          <w:highlight w:val="none"/>
        </w:rPr>
      </w:pPr>
    </w:p>
    <w:p w14:paraId="3A1ACA7F">
      <w:pPr>
        <w:pStyle w:val="6"/>
        <w:ind w:firstLine="560"/>
        <w:rPr>
          <w:rFonts w:hint="eastAsia" w:ascii="宋体" w:hAnsi="宋体" w:cs="宋体"/>
          <w:sz w:val="28"/>
          <w:szCs w:val="28"/>
          <w:highlight w:val="none"/>
        </w:rPr>
      </w:pPr>
    </w:p>
    <w:p w14:paraId="3AABA2A3">
      <w:pPr>
        <w:pStyle w:val="6"/>
        <w:ind w:firstLine="560"/>
        <w:rPr>
          <w:rFonts w:hint="eastAsia" w:ascii="宋体" w:hAnsi="宋体" w:cs="宋体"/>
          <w:sz w:val="28"/>
          <w:szCs w:val="28"/>
          <w:highlight w:val="none"/>
        </w:rPr>
      </w:pPr>
      <w:r>
        <w:rPr>
          <w:rFonts w:hint="eastAsia" w:ascii="宋体" w:hAnsi="宋体" w:cs="宋体"/>
          <w:sz w:val="28"/>
          <w:szCs w:val="28"/>
          <w:highlight w:val="none"/>
        </w:rPr>
        <w:br w:type="page"/>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545"/>
        <w:gridCol w:w="98"/>
        <w:gridCol w:w="543"/>
        <w:gridCol w:w="1779"/>
        <w:gridCol w:w="2322"/>
        <w:gridCol w:w="650"/>
        <w:gridCol w:w="582"/>
        <w:gridCol w:w="1090"/>
      </w:tblGrid>
      <w:tr w14:paraId="098E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gridSpan w:val="3"/>
            <w:noWrap w:val="0"/>
            <w:vAlign w:val="top"/>
          </w:tcPr>
          <w:p w14:paraId="06BB5AE9">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施工单位名称</w:t>
            </w:r>
          </w:p>
        </w:tc>
        <w:tc>
          <w:tcPr>
            <w:tcW w:w="2322" w:type="dxa"/>
            <w:gridSpan w:val="2"/>
            <w:noWrap w:val="0"/>
            <w:vAlign w:val="top"/>
          </w:tcPr>
          <w:p w14:paraId="5A56A2CF">
            <w:pPr>
              <w:spacing w:line="300" w:lineRule="exact"/>
              <w:jc w:val="center"/>
              <w:rPr>
                <w:rFonts w:hint="eastAsia" w:ascii="宋体" w:hAnsi="宋体" w:cs="宋体"/>
                <w:b/>
                <w:bCs/>
                <w:sz w:val="28"/>
                <w:szCs w:val="24"/>
                <w:highlight w:val="none"/>
              </w:rPr>
            </w:pPr>
          </w:p>
        </w:tc>
        <w:tc>
          <w:tcPr>
            <w:tcW w:w="2322" w:type="dxa"/>
            <w:noWrap w:val="0"/>
            <w:vAlign w:val="top"/>
          </w:tcPr>
          <w:p w14:paraId="5E1B4A24">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322" w:type="dxa"/>
            <w:gridSpan w:val="3"/>
            <w:noWrap w:val="0"/>
            <w:vAlign w:val="top"/>
          </w:tcPr>
          <w:p w14:paraId="0E0A8440">
            <w:pPr>
              <w:spacing w:line="300" w:lineRule="exact"/>
              <w:jc w:val="center"/>
              <w:rPr>
                <w:rFonts w:hint="eastAsia" w:ascii="宋体" w:hAnsi="宋体" w:cs="宋体"/>
                <w:b/>
                <w:bCs/>
                <w:sz w:val="28"/>
                <w:szCs w:val="24"/>
                <w:highlight w:val="none"/>
              </w:rPr>
            </w:pPr>
          </w:p>
        </w:tc>
      </w:tr>
      <w:tr w14:paraId="1139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5" w:type="dxa"/>
            <w:gridSpan w:val="4"/>
            <w:noWrap w:val="0"/>
            <w:vAlign w:val="top"/>
          </w:tcPr>
          <w:p w14:paraId="7BB68110">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考核部门</w:t>
            </w:r>
          </w:p>
        </w:tc>
        <w:tc>
          <w:tcPr>
            <w:tcW w:w="6423" w:type="dxa"/>
            <w:gridSpan w:val="5"/>
            <w:noWrap w:val="0"/>
            <w:vAlign w:val="center"/>
          </w:tcPr>
          <w:p w14:paraId="310DB9BB">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技术部（10分）</w:t>
            </w:r>
          </w:p>
        </w:tc>
      </w:tr>
      <w:tr w14:paraId="5B0C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top"/>
          </w:tcPr>
          <w:p w14:paraId="442547E5">
            <w:pPr>
              <w:spacing w:line="300" w:lineRule="exact"/>
              <w:rPr>
                <w:rFonts w:hint="eastAsia" w:ascii="宋体" w:hAnsi="宋体" w:cs="宋体"/>
                <w:sz w:val="28"/>
                <w:szCs w:val="24"/>
                <w:highlight w:val="none"/>
              </w:rPr>
            </w:pPr>
            <w:r>
              <w:rPr>
                <w:rFonts w:hint="eastAsia" w:ascii="宋体" w:hAnsi="宋体" w:cs="宋体"/>
                <w:sz w:val="28"/>
                <w:szCs w:val="24"/>
                <w:highlight w:val="none"/>
              </w:rPr>
              <w:t>考核项目</w:t>
            </w:r>
          </w:p>
        </w:tc>
        <w:tc>
          <w:tcPr>
            <w:tcW w:w="1545" w:type="dxa"/>
            <w:noWrap w:val="0"/>
            <w:vAlign w:val="center"/>
          </w:tcPr>
          <w:p w14:paraId="5BA6245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考核内容</w:t>
            </w:r>
          </w:p>
        </w:tc>
        <w:tc>
          <w:tcPr>
            <w:tcW w:w="641" w:type="dxa"/>
            <w:gridSpan w:val="2"/>
            <w:noWrap w:val="0"/>
            <w:vAlign w:val="center"/>
          </w:tcPr>
          <w:p w14:paraId="525FC34C">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分值</w:t>
            </w:r>
          </w:p>
        </w:tc>
        <w:tc>
          <w:tcPr>
            <w:tcW w:w="4751" w:type="dxa"/>
            <w:gridSpan w:val="3"/>
            <w:noWrap w:val="0"/>
            <w:vAlign w:val="center"/>
          </w:tcPr>
          <w:p w14:paraId="314C582A">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评分标准</w:t>
            </w:r>
          </w:p>
        </w:tc>
        <w:tc>
          <w:tcPr>
            <w:tcW w:w="582" w:type="dxa"/>
            <w:noWrap w:val="0"/>
            <w:vAlign w:val="center"/>
          </w:tcPr>
          <w:p w14:paraId="59919EBA">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得分</w:t>
            </w:r>
          </w:p>
        </w:tc>
        <w:tc>
          <w:tcPr>
            <w:tcW w:w="1090" w:type="dxa"/>
            <w:noWrap w:val="0"/>
            <w:vAlign w:val="center"/>
          </w:tcPr>
          <w:p w14:paraId="40C3D48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扣分原因</w:t>
            </w:r>
          </w:p>
        </w:tc>
      </w:tr>
      <w:tr w14:paraId="4544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9" w:type="dxa"/>
            <w:vMerge w:val="restart"/>
            <w:noWrap w:val="0"/>
            <w:vAlign w:val="center"/>
          </w:tcPr>
          <w:p w14:paraId="3C69D568">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设计管理</w:t>
            </w:r>
          </w:p>
        </w:tc>
        <w:tc>
          <w:tcPr>
            <w:tcW w:w="1545" w:type="dxa"/>
            <w:noWrap w:val="0"/>
            <w:vAlign w:val="center"/>
          </w:tcPr>
          <w:p w14:paraId="42FAEBDF">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设计交底</w:t>
            </w:r>
          </w:p>
        </w:tc>
        <w:tc>
          <w:tcPr>
            <w:tcW w:w="641" w:type="dxa"/>
            <w:gridSpan w:val="2"/>
            <w:noWrap w:val="0"/>
            <w:vAlign w:val="center"/>
          </w:tcPr>
          <w:p w14:paraId="2D45934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751" w:type="dxa"/>
            <w:gridSpan w:val="3"/>
            <w:noWrap w:val="0"/>
            <w:vAlign w:val="center"/>
          </w:tcPr>
          <w:p w14:paraId="1C248F67">
            <w:pPr>
              <w:spacing w:line="300" w:lineRule="exact"/>
              <w:rPr>
                <w:rFonts w:hint="eastAsia" w:ascii="宋体" w:hAnsi="宋体" w:cs="宋体"/>
                <w:sz w:val="28"/>
                <w:szCs w:val="24"/>
                <w:highlight w:val="none"/>
              </w:rPr>
            </w:pPr>
            <w:r>
              <w:rPr>
                <w:rFonts w:hint="eastAsia" w:ascii="宋体" w:hAnsi="宋体" w:cs="宋体"/>
                <w:sz w:val="28"/>
                <w:szCs w:val="24"/>
                <w:highlight w:val="none"/>
              </w:rPr>
              <w:t>无审图记录，无设计交底记录扣2分。</w:t>
            </w:r>
          </w:p>
        </w:tc>
        <w:tc>
          <w:tcPr>
            <w:tcW w:w="582" w:type="dxa"/>
            <w:noWrap w:val="0"/>
            <w:vAlign w:val="center"/>
          </w:tcPr>
          <w:p w14:paraId="1E920DBA">
            <w:pPr>
              <w:spacing w:line="300" w:lineRule="exact"/>
              <w:jc w:val="center"/>
              <w:rPr>
                <w:rFonts w:hint="eastAsia" w:ascii="宋体" w:hAnsi="宋体" w:cs="宋体"/>
                <w:sz w:val="28"/>
                <w:szCs w:val="24"/>
                <w:highlight w:val="none"/>
              </w:rPr>
            </w:pPr>
          </w:p>
        </w:tc>
        <w:tc>
          <w:tcPr>
            <w:tcW w:w="1090" w:type="dxa"/>
            <w:noWrap w:val="0"/>
            <w:vAlign w:val="center"/>
          </w:tcPr>
          <w:p w14:paraId="4EB3A026">
            <w:pPr>
              <w:spacing w:line="300" w:lineRule="exact"/>
              <w:jc w:val="center"/>
              <w:rPr>
                <w:rFonts w:hint="eastAsia" w:ascii="宋体" w:hAnsi="宋体" w:cs="宋体"/>
                <w:sz w:val="28"/>
                <w:szCs w:val="24"/>
                <w:highlight w:val="none"/>
              </w:rPr>
            </w:pPr>
          </w:p>
        </w:tc>
      </w:tr>
      <w:tr w14:paraId="3232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9" w:type="dxa"/>
            <w:vMerge w:val="continue"/>
            <w:noWrap w:val="0"/>
            <w:vAlign w:val="center"/>
          </w:tcPr>
          <w:p w14:paraId="31A99801">
            <w:pPr>
              <w:spacing w:line="300" w:lineRule="exact"/>
              <w:jc w:val="center"/>
              <w:rPr>
                <w:rFonts w:hint="eastAsia" w:ascii="宋体" w:hAnsi="宋体" w:cs="宋体"/>
                <w:sz w:val="28"/>
                <w:szCs w:val="24"/>
                <w:highlight w:val="none"/>
              </w:rPr>
            </w:pPr>
          </w:p>
        </w:tc>
        <w:tc>
          <w:tcPr>
            <w:tcW w:w="1545" w:type="dxa"/>
            <w:noWrap w:val="0"/>
            <w:vAlign w:val="center"/>
          </w:tcPr>
          <w:p w14:paraId="73FA4A11">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封样</w:t>
            </w:r>
          </w:p>
        </w:tc>
        <w:tc>
          <w:tcPr>
            <w:tcW w:w="641" w:type="dxa"/>
            <w:gridSpan w:val="2"/>
            <w:noWrap w:val="0"/>
            <w:vAlign w:val="center"/>
          </w:tcPr>
          <w:p w14:paraId="6532C358">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751" w:type="dxa"/>
            <w:gridSpan w:val="3"/>
            <w:noWrap w:val="0"/>
            <w:vAlign w:val="center"/>
          </w:tcPr>
          <w:p w14:paraId="7764AACF">
            <w:pPr>
              <w:spacing w:line="300" w:lineRule="exact"/>
              <w:rPr>
                <w:rFonts w:hint="eastAsia" w:ascii="宋体" w:hAnsi="宋体" w:cs="宋体"/>
                <w:sz w:val="28"/>
                <w:szCs w:val="24"/>
                <w:highlight w:val="none"/>
              </w:rPr>
            </w:pPr>
            <w:r>
              <w:rPr>
                <w:rFonts w:hint="eastAsia" w:ascii="宋体" w:hAnsi="宋体" w:cs="宋体"/>
                <w:sz w:val="28"/>
                <w:szCs w:val="24"/>
                <w:highlight w:val="none"/>
              </w:rPr>
              <w:t>现场施工材料与封样材料不一致，封样流程不规范，资料不全扣3分。</w:t>
            </w:r>
          </w:p>
        </w:tc>
        <w:tc>
          <w:tcPr>
            <w:tcW w:w="582" w:type="dxa"/>
            <w:noWrap w:val="0"/>
            <w:vAlign w:val="center"/>
          </w:tcPr>
          <w:p w14:paraId="75C66A95">
            <w:pPr>
              <w:spacing w:line="300" w:lineRule="exact"/>
              <w:jc w:val="center"/>
              <w:rPr>
                <w:rFonts w:hint="eastAsia" w:ascii="宋体" w:hAnsi="宋体" w:cs="宋体"/>
                <w:sz w:val="28"/>
                <w:szCs w:val="24"/>
                <w:highlight w:val="none"/>
              </w:rPr>
            </w:pPr>
          </w:p>
        </w:tc>
        <w:tc>
          <w:tcPr>
            <w:tcW w:w="1090" w:type="dxa"/>
            <w:noWrap w:val="0"/>
            <w:vAlign w:val="center"/>
          </w:tcPr>
          <w:p w14:paraId="27DF61CE">
            <w:pPr>
              <w:spacing w:line="300" w:lineRule="exact"/>
              <w:jc w:val="center"/>
              <w:rPr>
                <w:rFonts w:hint="eastAsia" w:ascii="宋体" w:hAnsi="宋体" w:cs="宋体"/>
                <w:sz w:val="28"/>
                <w:szCs w:val="24"/>
                <w:highlight w:val="none"/>
              </w:rPr>
            </w:pPr>
          </w:p>
        </w:tc>
      </w:tr>
      <w:tr w14:paraId="60BF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center"/>
          </w:tcPr>
          <w:p w14:paraId="5FA7C041">
            <w:pPr>
              <w:spacing w:line="300" w:lineRule="exact"/>
              <w:jc w:val="center"/>
              <w:rPr>
                <w:rFonts w:hint="eastAsia" w:ascii="宋体" w:hAnsi="宋体" w:cs="宋体"/>
                <w:sz w:val="28"/>
                <w:szCs w:val="24"/>
                <w:highlight w:val="none"/>
              </w:rPr>
            </w:pPr>
          </w:p>
        </w:tc>
        <w:tc>
          <w:tcPr>
            <w:tcW w:w="1545" w:type="dxa"/>
            <w:noWrap w:val="0"/>
            <w:vAlign w:val="center"/>
          </w:tcPr>
          <w:p w14:paraId="7BE87CBF">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工程设计变更</w:t>
            </w:r>
          </w:p>
        </w:tc>
        <w:tc>
          <w:tcPr>
            <w:tcW w:w="641" w:type="dxa"/>
            <w:gridSpan w:val="2"/>
            <w:noWrap w:val="0"/>
            <w:vAlign w:val="center"/>
          </w:tcPr>
          <w:p w14:paraId="2B4787A0">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751" w:type="dxa"/>
            <w:gridSpan w:val="3"/>
            <w:noWrap w:val="0"/>
            <w:vAlign w:val="center"/>
          </w:tcPr>
          <w:p w14:paraId="5E6D7B5B">
            <w:pPr>
              <w:spacing w:line="300" w:lineRule="exact"/>
              <w:rPr>
                <w:rFonts w:hint="eastAsia" w:ascii="宋体" w:hAnsi="宋体" w:cs="宋体"/>
                <w:sz w:val="28"/>
                <w:szCs w:val="24"/>
                <w:highlight w:val="none"/>
              </w:rPr>
            </w:pPr>
            <w:r>
              <w:rPr>
                <w:rFonts w:hint="eastAsia" w:ascii="宋体" w:hAnsi="宋体" w:cs="宋体"/>
                <w:sz w:val="28"/>
                <w:szCs w:val="24"/>
                <w:highlight w:val="none"/>
              </w:rPr>
              <w:t>变更、签证与现场实际不符，扣1分；手续不齐全，扣1分。</w:t>
            </w:r>
          </w:p>
        </w:tc>
        <w:tc>
          <w:tcPr>
            <w:tcW w:w="582" w:type="dxa"/>
            <w:noWrap w:val="0"/>
            <w:vAlign w:val="center"/>
          </w:tcPr>
          <w:p w14:paraId="006F9FB4">
            <w:pPr>
              <w:spacing w:line="300" w:lineRule="exact"/>
              <w:jc w:val="center"/>
              <w:rPr>
                <w:rFonts w:hint="eastAsia" w:ascii="宋体" w:hAnsi="宋体" w:cs="宋体"/>
                <w:sz w:val="28"/>
                <w:szCs w:val="24"/>
                <w:highlight w:val="none"/>
              </w:rPr>
            </w:pPr>
          </w:p>
        </w:tc>
        <w:tc>
          <w:tcPr>
            <w:tcW w:w="1090" w:type="dxa"/>
            <w:noWrap w:val="0"/>
            <w:vAlign w:val="center"/>
          </w:tcPr>
          <w:p w14:paraId="2A31116E">
            <w:pPr>
              <w:spacing w:line="300" w:lineRule="exact"/>
              <w:jc w:val="center"/>
              <w:rPr>
                <w:rFonts w:hint="eastAsia" w:ascii="宋体" w:hAnsi="宋体" w:cs="宋体"/>
                <w:sz w:val="28"/>
                <w:szCs w:val="24"/>
                <w:highlight w:val="none"/>
              </w:rPr>
            </w:pPr>
          </w:p>
        </w:tc>
      </w:tr>
      <w:tr w14:paraId="43C8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center"/>
          </w:tcPr>
          <w:p w14:paraId="3BA25856">
            <w:pPr>
              <w:spacing w:line="300" w:lineRule="exact"/>
              <w:jc w:val="center"/>
              <w:rPr>
                <w:rFonts w:hint="eastAsia" w:ascii="宋体" w:hAnsi="宋体" w:cs="宋体"/>
                <w:sz w:val="28"/>
                <w:szCs w:val="24"/>
                <w:highlight w:val="none"/>
              </w:rPr>
            </w:pPr>
          </w:p>
        </w:tc>
        <w:tc>
          <w:tcPr>
            <w:tcW w:w="1545" w:type="dxa"/>
            <w:noWrap w:val="0"/>
            <w:vAlign w:val="center"/>
          </w:tcPr>
          <w:p w14:paraId="4EAD0737">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按图施工</w:t>
            </w:r>
          </w:p>
        </w:tc>
        <w:tc>
          <w:tcPr>
            <w:tcW w:w="641" w:type="dxa"/>
            <w:gridSpan w:val="2"/>
            <w:noWrap w:val="0"/>
            <w:vAlign w:val="center"/>
          </w:tcPr>
          <w:p w14:paraId="4684C5CD">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751" w:type="dxa"/>
            <w:gridSpan w:val="3"/>
            <w:noWrap w:val="0"/>
            <w:vAlign w:val="center"/>
          </w:tcPr>
          <w:p w14:paraId="7ADA579C">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现场发现未按图施工，图纸内容未实施完成，扣3分。 </w:t>
            </w:r>
          </w:p>
        </w:tc>
        <w:tc>
          <w:tcPr>
            <w:tcW w:w="582" w:type="dxa"/>
            <w:noWrap w:val="0"/>
            <w:vAlign w:val="center"/>
          </w:tcPr>
          <w:p w14:paraId="070CC389">
            <w:pPr>
              <w:spacing w:line="300" w:lineRule="exact"/>
              <w:jc w:val="center"/>
              <w:rPr>
                <w:rFonts w:hint="eastAsia" w:ascii="宋体" w:hAnsi="宋体" w:cs="宋体"/>
                <w:sz w:val="28"/>
                <w:szCs w:val="24"/>
                <w:highlight w:val="none"/>
              </w:rPr>
            </w:pPr>
          </w:p>
        </w:tc>
        <w:tc>
          <w:tcPr>
            <w:tcW w:w="1090" w:type="dxa"/>
            <w:noWrap w:val="0"/>
            <w:vAlign w:val="center"/>
          </w:tcPr>
          <w:p w14:paraId="1095C9EE">
            <w:pPr>
              <w:spacing w:line="300" w:lineRule="exact"/>
              <w:jc w:val="center"/>
              <w:rPr>
                <w:rFonts w:hint="eastAsia" w:ascii="宋体" w:hAnsi="宋体" w:cs="宋体"/>
                <w:sz w:val="28"/>
                <w:szCs w:val="24"/>
                <w:highlight w:val="none"/>
              </w:rPr>
            </w:pPr>
          </w:p>
        </w:tc>
      </w:tr>
      <w:tr w14:paraId="4DC8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gridSpan w:val="2"/>
            <w:noWrap w:val="0"/>
            <w:vAlign w:val="center"/>
          </w:tcPr>
          <w:p w14:paraId="4140E834">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7064" w:type="dxa"/>
            <w:gridSpan w:val="7"/>
            <w:noWrap w:val="0"/>
            <w:vAlign w:val="center"/>
          </w:tcPr>
          <w:p w14:paraId="6A4B7606">
            <w:pPr>
              <w:spacing w:line="300" w:lineRule="exact"/>
              <w:jc w:val="center"/>
              <w:rPr>
                <w:rFonts w:hint="eastAsia" w:ascii="宋体" w:hAnsi="宋体" w:cs="宋体"/>
                <w:sz w:val="28"/>
                <w:szCs w:val="24"/>
                <w:highlight w:val="none"/>
              </w:rPr>
            </w:pPr>
          </w:p>
        </w:tc>
      </w:tr>
      <w:tr w14:paraId="2276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9"/>
            <w:noWrap w:val="0"/>
            <w:vAlign w:val="center"/>
          </w:tcPr>
          <w:p w14:paraId="1F040CCB">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技术部：                                 日期：</w:t>
            </w:r>
          </w:p>
        </w:tc>
      </w:tr>
    </w:tbl>
    <w:p w14:paraId="1BA743FA">
      <w:pPr>
        <w:pStyle w:val="6"/>
        <w:ind w:firstLine="560"/>
        <w:rPr>
          <w:rFonts w:hint="eastAsia" w:ascii="宋体" w:hAnsi="宋体" w:cs="宋体"/>
          <w:sz w:val="28"/>
          <w:szCs w:val="28"/>
          <w:highlight w:val="none"/>
        </w:rPr>
      </w:pPr>
    </w:p>
    <w:p w14:paraId="71B2A26F">
      <w:pPr>
        <w:pStyle w:val="6"/>
        <w:ind w:firstLine="560"/>
        <w:rPr>
          <w:rFonts w:hint="eastAsia" w:ascii="宋体" w:hAnsi="宋体" w:cs="宋体"/>
          <w:sz w:val="28"/>
          <w:szCs w:val="28"/>
          <w:highlight w:val="none"/>
        </w:rPr>
      </w:pPr>
    </w:p>
    <w:tbl>
      <w:tblPr>
        <w:tblStyle w:val="14"/>
        <w:tblpPr w:leftFromText="180" w:rightFromText="180" w:vertAnchor="text" w:horzAnchor="margin" w:tblpY="2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33"/>
        <w:gridCol w:w="177"/>
        <w:gridCol w:w="535"/>
        <w:gridCol w:w="1721"/>
        <w:gridCol w:w="2254"/>
        <w:gridCol w:w="627"/>
        <w:gridCol w:w="576"/>
        <w:gridCol w:w="1066"/>
      </w:tblGrid>
      <w:tr w14:paraId="1CC0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dxa"/>
            <w:gridSpan w:val="3"/>
            <w:noWrap w:val="0"/>
            <w:vAlign w:val="top"/>
          </w:tcPr>
          <w:p w14:paraId="78B74F58">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施工单位名称</w:t>
            </w:r>
          </w:p>
        </w:tc>
        <w:tc>
          <w:tcPr>
            <w:tcW w:w="2256" w:type="dxa"/>
            <w:gridSpan w:val="2"/>
            <w:noWrap w:val="0"/>
            <w:vAlign w:val="top"/>
          </w:tcPr>
          <w:p w14:paraId="2D82675A">
            <w:pPr>
              <w:spacing w:line="300" w:lineRule="exact"/>
              <w:jc w:val="center"/>
              <w:rPr>
                <w:rFonts w:hint="eastAsia" w:ascii="宋体" w:hAnsi="宋体" w:cs="宋体"/>
                <w:b/>
                <w:bCs/>
                <w:sz w:val="28"/>
                <w:szCs w:val="24"/>
                <w:highlight w:val="none"/>
              </w:rPr>
            </w:pPr>
          </w:p>
        </w:tc>
        <w:tc>
          <w:tcPr>
            <w:tcW w:w="2254" w:type="dxa"/>
            <w:noWrap w:val="0"/>
            <w:vAlign w:val="top"/>
          </w:tcPr>
          <w:p w14:paraId="09718EDA">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269" w:type="dxa"/>
            <w:gridSpan w:val="3"/>
            <w:noWrap w:val="0"/>
            <w:vAlign w:val="top"/>
          </w:tcPr>
          <w:p w14:paraId="42514014">
            <w:pPr>
              <w:spacing w:line="300" w:lineRule="exact"/>
              <w:jc w:val="center"/>
              <w:rPr>
                <w:rFonts w:hint="eastAsia" w:ascii="宋体" w:hAnsi="宋体" w:cs="宋体"/>
                <w:b/>
                <w:bCs/>
                <w:sz w:val="28"/>
                <w:szCs w:val="24"/>
                <w:highlight w:val="none"/>
              </w:rPr>
            </w:pPr>
          </w:p>
        </w:tc>
      </w:tr>
      <w:tr w14:paraId="3DF3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gridSpan w:val="4"/>
            <w:noWrap w:val="0"/>
            <w:vAlign w:val="top"/>
          </w:tcPr>
          <w:p w14:paraId="460E4E7B">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考核部门</w:t>
            </w:r>
          </w:p>
        </w:tc>
        <w:tc>
          <w:tcPr>
            <w:tcW w:w="6244" w:type="dxa"/>
            <w:gridSpan w:val="5"/>
            <w:noWrap w:val="0"/>
            <w:vAlign w:val="center"/>
          </w:tcPr>
          <w:p w14:paraId="72B7ECBB">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财务部（5分）</w:t>
            </w:r>
          </w:p>
        </w:tc>
      </w:tr>
      <w:tr w14:paraId="40C3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212409FD">
            <w:pPr>
              <w:spacing w:line="300" w:lineRule="exact"/>
              <w:rPr>
                <w:rFonts w:hint="eastAsia" w:ascii="宋体" w:hAnsi="宋体" w:cs="宋体"/>
                <w:sz w:val="28"/>
                <w:szCs w:val="24"/>
                <w:highlight w:val="none"/>
              </w:rPr>
            </w:pPr>
            <w:r>
              <w:rPr>
                <w:rFonts w:hint="eastAsia" w:ascii="宋体" w:hAnsi="宋体" w:cs="宋体"/>
                <w:sz w:val="28"/>
                <w:szCs w:val="24"/>
                <w:highlight w:val="none"/>
              </w:rPr>
              <w:t>考核项目</w:t>
            </w:r>
          </w:p>
        </w:tc>
        <w:tc>
          <w:tcPr>
            <w:tcW w:w="1433" w:type="dxa"/>
            <w:noWrap w:val="0"/>
            <w:vAlign w:val="center"/>
          </w:tcPr>
          <w:p w14:paraId="76E97076">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考核内容</w:t>
            </w:r>
          </w:p>
        </w:tc>
        <w:tc>
          <w:tcPr>
            <w:tcW w:w="712" w:type="dxa"/>
            <w:gridSpan w:val="2"/>
            <w:noWrap w:val="0"/>
            <w:vAlign w:val="center"/>
          </w:tcPr>
          <w:p w14:paraId="0626B39C">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分值</w:t>
            </w:r>
          </w:p>
        </w:tc>
        <w:tc>
          <w:tcPr>
            <w:tcW w:w="4602" w:type="dxa"/>
            <w:gridSpan w:val="3"/>
            <w:noWrap w:val="0"/>
            <w:vAlign w:val="center"/>
          </w:tcPr>
          <w:p w14:paraId="5A9660F5">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评分标准</w:t>
            </w:r>
          </w:p>
        </w:tc>
        <w:tc>
          <w:tcPr>
            <w:tcW w:w="576" w:type="dxa"/>
            <w:noWrap w:val="0"/>
            <w:vAlign w:val="center"/>
          </w:tcPr>
          <w:p w14:paraId="6383D50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得分</w:t>
            </w:r>
          </w:p>
        </w:tc>
        <w:tc>
          <w:tcPr>
            <w:tcW w:w="1066" w:type="dxa"/>
            <w:noWrap w:val="0"/>
            <w:vAlign w:val="center"/>
          </w:tcPr>
          <w:p w14:paraId="7F8EB3C4">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扣分原因</w:t>
            </w:r>
          </w:p>
        </w:tc>
      </w:tr>
      <w:tr w14:paraId="03EF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671" w:type="dxa"/>
            <w:vMerge w:val="restart"/>
            <w:noWrap w:val="0"/>
            <w:vAlign w:val="center"/>
          </w:tcPr>
          <w:p w14:paraId="39C1CDC1">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资金支付</w:t>
            </w:r>
          </w:p>
        </w:tc>
        <w:tc>
          <w:tcPr>
            <w:tcW w:w="1433" w:type="dxa"/>
            <w:noWrap w:val="0"/>
            <w:vAlign w:val="center"/>
          </w:tcPr>
          <w:p w14:paraId="3519599E">
            <w:pPr>
              <w:spacing w:line="300" w:lineRule="exact"/>
              <w:rPr>
                <w:rFonts w:hint="eastAsia" w:ascii="宋体" w:hAnsi="宋体" w:cs="宋体"/>
                <w:sz w:val="28"/>
                <w:szCs w:val="24"/>
                <w:highlight w:val="none"/>
              </w:rPr>
            </w:pPr>
            <w:r>
              <w:rPr>
                <w:rFonts w:hint="eastAsia" w:ascii="宋体" w:hAnsi="宋体" w:cs="宋体"/>
                <w:sz w:val="28"/>
                <w:szCs w:val="24"/>
                <w:highlight w:val="none"/>
              </w:rPr>
              <w:t>农民工工资支付</w:t>
            </w:r>
          </w:p>
        </w:tc>
        <w:tc>
          <w:tcPr>
            <w:tcW w:w="712" w:type="dxa"/>
            <w:gridSpan w:val="2"/>
            <w:noWrap w:val="0"/>
            <w:vAlign w:val="center"/>
          </w:tcPr>
          <w:p w14:paraId="7EE2AA4A">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602" w:type="dxa"/>
            <w:gridSpan w:val="3"/>
            <w:noWrap w:val="0"/>
            <w:vAlign w:val="center"/>
          </w:tcPr>
          <w:p w14:paraId="598B1186">
            <w:pPr>
              <w:spacing w:line="300" w:lineRule="exact"/>
              <w:rPr>
                <w:rFonts w:hint="eastAsia" w:ascii="宋体" w:hAnsi="宋体" w:cs="宋体"/>
                <w:sz w:val="28"/>
                <w:szCs w:val="24"/>
                <w:highlight w:val="none"/>
              </w:rPr>
            </w:pPr>
            <w:r>
              <w:rPr>
                <w:rFonts w:hint="eastAsia" w:ascii="宋体" w:hAnsi="宋体" w:cs="宋体"/>
                <w:sz w:val="28"/>
                <w:szCs w:val="24"/>
                <w:highlight w:val="none"/>
              </w:rPr>
              <w:t>1.未建立农民工工资支付记录和台账，扣0.2分，支付记录和台账弄虚作假，存在明显错误，扣0.5分。</w:t>
            </w:r>
            <w:r>
              <w:rPr>
                <w:rFonts w:hint="eastAsia" w:ascii="宋体" w:hAnsi="宋体" w:cs="宋体"/>
                <w:sz w:val="28"/>
                <w:szCs w:val="24"/>
                <w:highlight w:val="none"/>
              </w:rPr>
              <w:br w:type="textWrapping"/>
            </w:r>
            <w:r>
              <w:rPr>
                <w:rFonts w:hint="eastAsia" w:ascii="宋体" w:hAnsi="宋体" w:cs="宋体"/>
                <w:sz w:val="28"/>
                <w:szCs w:val="24"/>
                <w:highlight w:val="none"/>
              </w:rPr>
              <w:t>2.由施工单位原因造成合同纠纷或诉讼（败诉）的扣0.5分，造成农民工集体上访等群体事件一次性扣0.5分。</w:t>
            </w:r>
          </w:p>
        </w:tc>
        <w:tc>
          <w:tcPr>
            <w:tcW w:w="576" w:type="dxa"/>
            <w:noWrap w:val="0"/>
            <w:vAlign w:val="center"/>
          </w:tcPr>
          <w:p w14:paraId="666AF264">
            <w:pPr>
              <w:spacing w:line="300" w:lineRule="exact"/>
              <w:jc w:val="center"/>
              <w:rPr>
                <w:rFonts w:hint="eastAsia" w:ascii="宋体" w:hAnsi="宋体" w:cs="宋体"/>
                <w:sz w:val="28"/>
                <w:szCs w:val="24"/>
                <w:highlight w:val="none"/>
              </w:rPr>
            </w:pPr>
          </w:p>
        </w:tc>
        <w:tc>
          <w:tcPr>
            <w:tcW w:w="1066" w:type="dxa"/>
            <w:noWrap w:val="0"/>
            <w:vAlign w:val="center"/>
          </w:tcPr>
          <w:p w14:paraId="13EA0D14">
            <w:pPr>
              <w:spacing w:line="300" w:lineRule="exact"/>
              <w:jc w:val="center"/>
              <w:rPr>
                <w:rFonts w:hint="eastAsia" w:ascii="宋体" w:hAnsi="宋体" w:cs="宋体"/>
                <w:sz w:val="28"/>
                <w:szCs w:val="24"/>
                <w:highlight w:val="none"/>
              </w:rPr>
            </w:pPr>
          </w:p>
        </w:tc>
      </w:tr>
      <w:tr w14:paraId="7B4C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noWrap w:val="0"/>
            <w:vAlign w:val="top"/>
          </w:tcPr>
          <w:p w14:paraId="4EAD4EF4">
            <w:pPr>
              <w:spacing w:line="300" w:lineRule="exact"/>
              <w:rPr>
                <w:rFonts w:hint="eastAsia" w:ascii="宋体" w:hAnsi="宋体" w:cs="宋体"/>
                <w:sz w:val="28"/>
                <w:szCs w:val="24"/>
                <w:highlight w:val="none"/>
              </w:rPr>
            </w:pPr>
          </w:p>
        </w:tc>
        <w:tc>
          <w:tcPr>
            <w:tcW w:w="1433" w:type="dxa"/>
            <w:noWrap w:val="0"/>
            <w:vAlign w:val="center"/>
          </w:tcPr>
          <w:p w14:paraId="36CA2F7D">
            <w:pPr>
              <w:spacing w:line="300" w:lineRule="exact"/>
              <w:rPr>
                <w:rFonts w:hint="eastAsia" w:ascii="宋体" w:hAnsi="宋体" w:cs="宋体"/>
                <w:sz w:val="28"/>
                <w:szCs w:val="24"/>
                <w:highlight w:val="none"/>
              </w:rPr>
            </w:pPr>
            <w:r>
              <w:rPr>
                <w:rFonts w:hint="eastAsia" w:ascii="宋体" w:hAnsi="宋体" w:cs="宋体"/>
                <w:sz w:val="28"/>
                <w:szCs w:val="24"/>
                <w:highlight w:val="none"/>
              </w:rPr>
              <w:t>资金计划及支付台账</w:t>
            </w:r>
          </w:p>
        </w:tc>
        <w:tc>
          <w:tcPr>
            <w:tcW w:w="712" w:type="dxa"/>
            <w:gridSpan w:val="2"/>
            <w:noWrap w:val="0"/>
            <w:vAlign w:val="center"/>
          </w:tcPr>
          <w:p w14:paraId="15731A95">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1</w:t>
            </w:r>
          </w:p>
        </w:tc>
        <w:tc>
          <w:tcPr>
            <w:tcW w:w="4602" w:type="dxa"/>
            <w:gridSpan w:val="3"/>
            <w:noWrap w:val="0"/>
            <w:vAlign w:val="center"/>
          </w:tcPr>
          <w:p w14:paraId="6A428A83">
            <w:pPr>
              <w:spacing w:line="300" w:lineRule="exact"/>
              <w:rPr>
                <w:rFonts w:hint="eastAsia" w:ascii="宋体" w:hAnsi="宋体" w:cs="宋体"/>
                <w:sz w:val="28"/>
                <w:szCs w:val="24"/>
                <w:highlight w:val="none"/>
              </w:rPr>
            </w:pPr>
            <w:r>
              <w:rPr>
                <w:rFonts w:hint="eastAsia" w:ascii="宋体" w:hAnsi="宋体" w:cs="宋体"/>
                <w:sz w:val="28"/>
                <w:szCs w:val="24"/>
                <w:highlight w:val="none"/>
              </w:rPr>
              <w:t>未建立资金计划及支付台账，扣0.5分，支付记录和台账弄虚作假，存在明显错误，扣0.5分。</w:t>
            </w:r>
          </w:p>
        </w:tc>
        <w:tc>
          <w:tcPr>
            <w:tcW w:w="576" w:type="dxa"/>
            <w:noWrap w:val="0"/>
            <w:vAlign w:val="center"/>
          </w:tcPr>
          <w:p w14:paraId="5F21D649">
            <w:pPr>
              <w:spacing w:line="300" w:lineRule="exact"/>
              <w:jc w:val="center"/>
              <w:rPr>
                <w:rFonts w:hint="eastAsia" w:ascii="宋体" w:hAnsi="宋体" w:cs="宋体"/>
                <w:sz w:val="28"/>
                <w:szCs w:val="24"/>
                <w:highlight w:val="none"/>
              </w:rPr>
            </w:pPr>
          </w:p>
        </w:tc>
        <w:tc>
          <w:tcPr>
            <w:tcW w:w="1066" w:type="dxa"/>
            <w:noWrap w:val="0"/>
            <w:vAlign w:val="center"/>
          </w:tcPr>
          <w:p w14:paraId="14C4FF41">
            <w:pPr>
              <w:spacing w:line="300" w:lineRule="exact"/>
              <w:jc w:val="center"/>
              <w:rPr>
                <w:rFonts w:hint="eastAsia" w:ascii="宋体" w:hAnsi="宋体" w:cs="宋体"/>
                <w:sz w:val="28"/>
                <w:szCs w:val="24"/>
                <w:highlight w:val="none"/>
              </w:rPr>
            </w:pPr>
          </w:p>
        </w:tc>
      </w:tr>
      <w:tr w14:paraId="2E0B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noWrap w:val="0"/>
            <w:vAlign w:val="top"/>
          </w:tcPr>
          <w:p w14:paraId="06CE366E">
            <w:pPr>
              <w:spacing w:line="300" w:lineRule="exact"/>
              <w:rPr>
                <w:rFonts w:hint="eastAsia" w:ascii="宋体" w:hAnsi="宋体" w:cs="宋体"/>
                <w:sz w:val="28"/>
                <w:szCs w:val="24"/>
                <w:highlight w:val="none"/>
              </w:rPr>
            </w:pPr>
          </w:p>
        </w:tc>
        <w:tc>
          <w:tcPr>
            <w:tcW w:w="1433" w:type="dxa"/>
            <w:noWrap w:val="0"/>
            <w:vAlign w:val="center"/>
          </w:tcPr>
          <w:p w14:paraId="7A098631">
            <w:pPr>
              <w:spacing w:line="300" w:lineRule="exact"/>
              <w:rPr>
                <w:rFonts w:hint="eastAsia" w:ascii="宋体" w:hAnsi="宋体" w:cs="宋体"/>
                <w:sz w:val="28"/>
                <w:szCs w:val="24"/>
                <w:highlight w:val="none"/>
              </w:rPr>
            </w:pPr>
            <w:r>
              <w:rPr>
                <w:rFonts w:hint="eastAsia" w:ascii="宋体" w:hAnsi="宋体" w:cs="宋体"/>
                <w:sz w:val="28"/>
                <w:szCs w:val="24"/>
                <w:highlight w:val="none"/>
              </w:rPr>
              <w:t>开票，罚款缴纳</w:t>
            </w:r>
          </w:p>
        </w:tc>
        <w:tc>
          <w:tcPr>
            <w:tcW w:w="712" w:type="dxa"/>
            <w:gridSpan w:val="2"/>
            <w:noWrap w:val="0"/>
            <w:vAlign w:val="center"/>
          </w:tcPr>
          <w:p w14:paraId="4030538A">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602" w:type="dxa"/>
            <w:gridSpan w:val="3"/>
            <w:noWrap w:val="0"/>
            <w:vAlign w:val="center"/>
          </w:tcPr>
          <w:p w14:paraId="470D1C05">
            <w:pPr>
              <w:spacing w:line="300" w:lineRule="exact"/>
              <w:rPr>
                <w:rFonts w:hint="eastAsia" w:ascii="宋体" w:hAnsi="宋体" w:cs="宋体"/>
                <w:sz w:val="28"/>
                <w:szCs w:val="24"/>
                <w:highlight w:val="none"/>
              </w:rPr>
            </w:pPr>
            <w:r>
              <w:rPr>
                <w:rFonts w:hint="eastAsia" w:ascii="宋体" w:hAnsi="宋体" w:cs="宋体"/>
                <w:sz w:val="28"/>
                <w:szCs w:val="24"/>
                <w:highlight w:val="none"/>
              </w:rPr>
              <w:t>1.未按合同要求开具发票，扣1分。</w:t>
            </w:r>
            <w:r>
              <w:rPr>
                <w:rFonts w:hint="eastAsia" w:ascii="宋体" w:hAnsi="宋体" w:cs="宋体"/>
                <w:sz w:val="28"/>
                <w:szCs w:val="24"/>
                <w:highlight w:val="none"/>
              </w:rPr>
              <w:br w:type="textWrapping"/>
            </w:r>
            <w:r>
              <w:rPr>
                <w:rFonts w:hint="eastAsia" w:ascii="宋体" w:hAnsi="宋体" w:cs="宋体"/>
                <w:sz w:val="28"/>
                <w:szCs w:val="24"/>
                <w:highlight w:val="none"/>
              </w:rPr>
              <w:t>2.拒绝缴纳罚款，或缴纳不及时，扣1分。</w:t>
            </w:r>
          </w:p>
        </w:tc>
        <w:tc>
          <w:tcPr>
            <w:tcW w:w="576" w:type="dxa"/>
            <w:noWrap w:val="0"/>
            <w:vAlign w:val="center"/>
          </w:tcPr>
          <w:p w14:paraId="59F6B3AF">
            <w:pPr>
              <w:spacing w:line="300" w:lineRule="exact"/>
              <w:jc w:val="center"/>
              <w:rPr>
                <w:rFonts w:hint="eastAsia" w:ascii="宋体" w:hAnsi="宋体" w:cs="宋体"/>
                <w:sz w:val="28"/>
                <w:szCs w:val="24"/>
                <w:highlight w:val="none"/>
              </w:rPr>
            </w:pPr>
          </w:p>
        </w:tc>
        <w:tc>
          <w:tcPr>
            <w:tcW w:w="1066" w:type="dxa"/>
            <w:noWrap w:val="0"/>
            <w:vAlign w:val="center"/>
          </w:tcPr>
          <w:p w14:paraId="0F4D194F">
            <w:pPr>
              <w:spacing w:line="300" w:lineRule="exact"/>
              <w:jc w:val="center"/>
              <w:rPr>
                <w:rFonts w:hint="eastAsia" w:ascii="宋体" w:hAnsi="宋体" w:cs="宋体"/>
                <w:sz w:val="28"/>
                <w:szCs w:val="24"/>
                <w:highlight w:val="none"/>
              </w:rPr>
            </w:pPr>
          </w:p>
        </w:tc>
      </w:tr>
      <w:tr w14:paraId="5C64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dxa"/>
            <w:gridSpan w:val="2"/>
            <w:noWrap w:val="0"/>
            <w:vAlign w:val="top"/>
          </w:tcPr>
          <w:p w14:paraId="03435188">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6956" w:type="dxa"/>
            <w:gridSpan w:val="7"/>
            <w:noWrap w:val="0"/>
            <w:vAlign w:val="center"/>
          </w:tcPr>
          <w:p w14:paraId="3F9D0CEF">
            <w:pPr>
              <w:spacing w:line="300" w:lineRule="exact"/>
              <w:jc w:val="center"/>
              <w:rPr>
                <w:rFonts w:hint="eastAsia" w:ascii="宋体" w:hAnsi="宋体" w:cs="宋体"/>
                <w:sz w:val="28"/>
                <w:szCs w:val="24"/>
                <w:highlight w:val="none"/>
              </w:rPr>
            </w:pPr>
          </w:p>
        </w:tc>
      </w:tr>
      <w:tr w14:paraId="1A5A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9"/>
            <w:noWrap w:val="0"/>
            <w:vAlign w:val="top"/>
          </w:tcPr>
          <w:p w14:paraId="27EBE70D">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财务部：                                 日期：</w:t>
            </w:r>
          </w:p>
        </w:tc>
      </w:tr>
    </w:tbl>
    <w:p w14:paraId="4F01F31F">
      <w:pPr>
        <w:pStyle w:val="6"/>
        <w:ind w:firstLine="560"/>
        <w:rPr>
          <w:rFonts w:hint="eastAsia" w:ascii="宋体" w:hAnsi="宋体" w:cs="宋体"/>
          <w:sz w:val="28"/>
          <w:szCs w:val="28"/>
          <w:highlight w:val="none"/>
        </w:rPr>
      </w:pPr>
    </w:p>
    <w:p w14:paraId="7A35725A">
      <w:pPr>
        <w:pStyle w:val="6"/>
        <w:ind w:firstLine="560"/>
        <w:rPr>
          <w:rFonts w:hint="eastAsia" w:ascii="宋体" w:hAnsi="宋体" w:cs="宋体"/>
          <w:sz w:val="28"/>
          <w:szCs w:val="28"/>
          <w:highlight w:val="non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381"/>
        <w:gridCol w:w="262"/>
        <w:gridCol w:w="447"/>
        <w:gridCol w:w="1875"/>
        <w:gridCol w:w="2322"/>
        <w:gridCol w:w="650"/>
        <w:gridCol w:w="582"/>
        <w:gridCol w:w="1090"/>
      </w:tblGrid>
      <w:tr w14:paraId="7D32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gridSpan w:val="3"/>
            <w:noWrap w:val="0"/>
            <w:vAlign w:val="top"/>
          </w:tcPr>
          <w:p w14:paraId="559353B4">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施工单位名称</w:t>
            </w:r>
          </w:p>
        </w:tc>
        <w:tc>
          <w:tcPr>
            <w:tcW w:w="2322" w:type="dxa"/>
            <w:gridSpan w:val="2"/>
            <w:noWrap w:val="0"/>
            <w:vAlign w:val="top"/>
          </w:tcPr>
          <w:p w14:paraId="2042DD94">
            <w:pPr>
              <w:spacing w:line="300" w:lineRule="exact"/>
              <w:jc w:val="center"/>
              <w:rPr>
                <w:rFonts w:hint="eastAsia" w:ascii="宋体" w:hAnsi="宋体" w:cs="宋体"/>
                <w:b/>
                <w:bCs/>
                <w:sz w:val="28"/>
                <w:szCs w:val="24"/>
                <w:highlight w:val="none"/>
              </w:rPr>
            </w:pPr>
          </w:p>
        </w:tc>
        <w:tc>
          <w:tcPr>
            <w:tcW w:w="2322" w:type="dxa"/>
            <w:noWrap w:val="0"/>
            <w:vAlign w:val="top"/>
          </w:tcPr>
          <w:p w14:paraId="16382F9F">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322" w:type="dxa"/>
            <w:gridSpan w:val="3"/>
            <w:noWrap w:val="0"/>
            <w:vAlign w:val="top"/>
          </w:tcPr>
          <w:p w14:paraId="3A48B304">
            <w:pPr>
              <w:spacing w:line="300" w:lineRule="exact"/>
              <w:jc w:val="center"/>
              <w:rPr>
                <w:rFonts w:hint="eastAsia" w:ascii="宋体" w:hAnsi="宋体" w:cs="宋体"/>
                <w:b/>
                <w:bCs/>
                <w:sz w:val="28"/>
                <w:szCs w:val="24"/>
                <w:highlight w:val="none"/>
              </w:rPr>
            </w:pPr>
          </w:p>
        </w:tc>
      </w:tr>
      <w:tr w14:paraId="30FD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gridSpan w:val="4"/>
            <w:noWrap w:val="0"/>
            <w:vAlign w:val="top"/>
          </w:tcPr>
          <w:p w14:paraId="1D732272">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考核部门</w:t>
            </w:r>
          </w:p>
        </w:tc>
        <w:tc>
          <w:tcPr>
            <w:tcW w:w="6519" w:type="dxa"/>
            <w:gridSpan w:val="5"/>
            <w:noWrap w:val="0"/>
            <w:vAlign w:val="center"/>
          </w:tcPr>
          <w:p w14:paraId="73E87897">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合同预算部（10分）</w:t>
            </w:r>
          </w:p>
        </w:tc>
      </w:tr>
      <w:tr w14:paraId="0EAC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top"/>
          </w:tcPr>
          <w:p w14:paraId="62DC1FC6">
            <w:pPr>
              <w:spacing w:line="300" w:lineRule="exact"/>
              <w:rPr>
                <w:rFonts w:hint="eastAsia" w:ascii="宋体" w:hAnsi="宋体" w:cs="宋体"/>
                <w:sz w:val="28"/>
                <w:szCs w:val="24"/>
                <w:highlight w:val="none"/>
              </w:rPr>
            </w:pPr>
            <w:r>
              <w:rPr>
                <w:rFonts w:hint="eastAsia" w:ascii="宋体" w:hAnsi="宋体" w:cs="宋体"/>
                <w:sz w:val="28"/>
                <w:szCs w:val="24"/>
                <w:highlight w:val="none"/>
              </w:rPr>
              <w:t>考核项目</w:t>
            </w:r>
          </w:p>
        </w:tc>
        <w:tc>
          <w:tcPr>
            <w:tcW w:w="1381" w:type="dxa"/>
            <w:noWrap w:val="0"/>
            <w:vAlign w:val="center"/>
          </w:tcPr>
          <w:p w14:paraId="17C0E4A0">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考核内容</w:t>
            </w:r>
          </w:p>
        </w:tc>
        <w:tc>
          <w:tcPr>
            <w:tcW w:w="709" w:type="dxa"/>
            <w:gridSpan w:val="2"/>
            <w:noWrap w:val="0"/>
            <w:vAlign w:val="center"/>
          </w:tcPr>
          <w:p w14:paraId="00559C7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分值</w:t>
            </w:r>
          </w:p>
        </w:tc>
        <w:tc>
          <w:tcPr>
            <w:tcW w:w="4847" w:type="dxa"/>
            <w:gridSpan w:val="3"/>
            <w:noWrap w:val="0"/>
            <w:vAlign w:val="center"/>
          </w:tcPr>
          <w:p w14:paraId="120CD1C7">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评分标准</w:t>
            </w:r>
          </w:p>
        </w:tc>
        <w:tc>
          <w:tcPr>
            <w:tcW w:w="582" w:type="dxa"/>
            <w:noWrap w:val="0"/>
            <w:vAlign w:val="center"/>
          </w:tcPr>
          <w:p w14:paraId="47BB04C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得分</w:t>
            </w:r>
          </w:p>
        </w:tc>
        <w:tc>
          <w:tcPr>
            <w:tcW w:w="1090" w:type="dxa"/>
            <w:noWrap w:val="0"/>
            <w:vAlign w:val="center"/>
          </w:tcPr>
          <w:p w14:paraId="30B1A515">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扣分原因</w:t>
            </w:r>
          </w:p>
        </w:tc>
      </w:tr>
      <w:tr w14:paraId="34BE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restart"/>
            <w:noWrap w:val="0"/>
            <w:vAlign w:val="center"/>
          </w:tcPr>
          <w:p w14:paraId="446D321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成本控制</w:t>
            </w:r>
          </w:p>
        </w:tc>
        <w:tc>
          <w:tcPr>
            <w:tcW w:w="1381" w:type="dxa"/>
            <w:noWrap w:val="0"/>
            <w:vAlign w:val="center"/>
          </w:tcPr>
          <w:p w14:paraId="3DDF990C">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变更及签证</w:t>
            </w:r>
          </w:p>
        </w:tc>
        <w:tc>
          <w:tcPr>
            <w:tcW w:w="709" w:type="dxa"/>
            <w:gridSpan w:val="2"/>
            <w:noWrap w:val="0"/>
            <w:vAlign w:val="center"/>
          </w:tcPr>
          <w:p w14:paraId="260494B9">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847" w:type="dxa"/>
            <w:gridSpan w:val="3"/>
            <w:noWrap w:val="0"/>
            <w:vAlign w:val="center"/>
          </w:tcPr>
          <w:p w14:paraId="1E50D524">
            <w:pPr>
              <w:spacing w:line="300" w:lineRule="exact"/>
              <w:rPr>
                <w:rFonts w:hint="eastAsia" w:ascii="宋体" w:hAnsi="宋体" w:cs="宋体"/>
                <w:sz w:val="28"/>
                <w:szCs w:val="24"/>
                <w:highlight w:val="none"/>
              </w:rPr>
            </w:pPr>
            <w:r>
              <w:rPr>
                <w:rFonts w:hint="eastAsia" w:ascii="宋体" w:hAnsi="宋体" w:cs="宋体"/>
                <w:sz w:val="28"/>
                <w:szCs w:val="24"/>
                <w:highlight w:val="none"/>
              </w:rPr>
              <w:t>未按规定及时办理工程变更及签证，扣2分。</w:t>
            </w:r>
          </w:p>
        </w:tc>
        <w:tc>
          <w:tcPr>
            <w:tcW w:w="582" w:type="dxa"/>
            <w:noWrap w:val="0"/>
            <w:vAlign w:val="center"/>
          </w:tcPr>
          <w:p w14:paraId="18647091">
            <w:pPr>
              <w:spacing w:line="300" w:lineRule="exact"/>
              <w:jc w:val="center"/>
              <w:rPr>
                <w:rFonts w:hint="eastAsia" w:ascii="宋体" w:hAnsi="宋体" w:cs="宋体"/>
                <w:sz w:val="28"/>
                <w:szCs w:val="24"/>
                <w:highlight w:val="none"/>
              </w:rPr>
            </w:pPr>
          </w:p>
        </w:tc>
        <w:tc>
          <w:tcPr>
            <w:tcW w:w="1090" w:type="dxa"/>
            <w:noWrap w:val="0"/>
            <w:vAlign w:val="center"/>
          </w:tcPr>
          <w:p w14:paraId="4DDE2C14">
            <w:pPr>
              <w:spacing w:line="300" w:lineRule="exact"/>
              <w:jc w:val="center"/>
              <w:rPr>
                <w:rFonts w:hint="eastAsia" w:ascii="宋体" w:hAnsi="宋体" w:cs="宋体"/>
                <w:sz w:val="28"/>
                <w:szCs w:val="24"/>
                <w:highlight w:val="none"/>
              </w:rPr>
            </w:pPr>
          </w:p>
        </w:tc>
      </w:tr>
      <w:tr w14:paraId="7AAD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dxa"/>
            <w:vMerge w:val="continue"/>
            <w:noWrap w:val="0"/>
            <w:vAlign w:val="center"/>
          </w:tcPr>
          <w:p w14:paraId="2D57B3BE">
            <w:pPr>
              <w:spacing w:line="300" w:lineRule="exact"/>
              <w:jc w:val="center"/>
              <w:rPr>
                <w:rFonts w:hint="eastAsia" w:ascii="宋体" w:hAnsi="宋体" w:cs="宋体"/>
                <w:sz w:val="28"/>
                <w:szCs w:val="24"/>
                <w:highlight w:val="none"/>
              </w:rPr>
            </w:pPr>
          </w:p>
        </w:tc>
        <w:tc>
          <w:tcPr>
            <w:tcW w:w="1381" w:type="dxa"/>
            <w:noWrap w:val="0"/>
            <w:vAlign w:val="center"/>
          </w:tcPr>
          <w:p w14:paraId="6CF7A330">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进度款</w:t>
            </w:r>
          </w:p>
        </w:tc>
        <w:tc>
          <w:tcPr>
            <w:tcW w:w="709" w:type="dxa"/>
            <w:gridSpan w:val="2"/>
            <w:noWrap w:val="0"/>
            <w:vAlign w:val="center"/>
          </w:tcPr>
          <w:p w14:paraId="57D05FCC">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847" w:type="dxa"/>
            <w:gridSpan w:val="3"/>
            <w:noWrap w:val="0"/>
            <w:vAlign w:val="center"/>
          </w:tcPr>
          <w:p w14:paraId="71C6F663">
            <w:pPr>
              <w:spacing w:line="300" w:lineRule="exact"/>
              <w:rPr>
                <w:rFonts w:hint="eastAsia" w:ascii="宋体" w:hAnsi="宋体" w:cs="宋体"/>
                <w:sz w:val="28"/>
                <w:szCs w:val="24"/>
                <w:highlight w:val="none"/>
              </w:rPr>
            </w:pPr>
            <w:r>
              <w:rPr>
                <w:rFonts w:hint="eastAsia" w:ascii="宋体" w:hAnsi="宋体" w:cs="宋体"/>
                <w:sz w:val="28"/>
                <w:szCs w:val="24"/>
                <w:highlight w:val="none"/>
              </w:rPr>
              <w:t>进度款，计量相关资料不全，扣3分。</w:t>
            </w:r>
          </w:p>
        </w:tc>
        <w:tc>
          <w:tcPr>
            <w:tcW w:w="582" w:type="dxa"/>
            <w:noWrap w:val="0"/>
            <w:vAlign w:val="center"/>
          </w:tcPr>
          <w:p w14:paraId="77D0BD8E">
            <w:pPr>
              <w:spacing w:line="300" w:lineRule="exact"/>
              <w:jc w:val="center"/>
              <w:rPr>
                <w:rFonts w:hint="eastAsia" w:ascii="宋体" w:hAnsi="宋体" w:cs="宋体"/>
                <w:sz w:val="28"/>
                <w:szCs w:val="24"/>
                <w:highlight w:val="none"/>
              </w:rPr>
            </w:pPr>
          </w:p>
        </w:tc>
        <w:tc>
          <w:tcPr>
            <w:tcW w:w="1090" w:type="dxa"/>
            <w:noWrap w:val="0"/>
            <w:vAlign w:val="center"/>
          </w:tcPr>
          <w:p w14:paraId="4C08F212">
            <w:pPr>
              <w:spacing w:line="300" w:lineRule="exact"/>
              <w:jc w:val="center"/>
              <w:rPr>
                <w:rFonts w:hint="eastAsia" w:ascii="宋体" w:hAnsi="宋体" w:cs="宋体"/>
                <w:sz w:val="28"/>
                <w:szCs w:val="24"/>
                <w:highlight w:val="none"/>
              </w:rPr>
            </w:pPr>
          </w:p>
        </w:tc>
      </w:tr>
      <w:tr w14:paraId="60CA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center"/>
          </w:tcPr>
          <w:p w14:paraId="0CA4439D">
            <w:pPr>
              <w:spacing w:line="300" w:lineRule="exact"/>
              <w:jc w:val="center"/>
              <w:rPr>
                <w:rFonts w:hint="eastAsia" w:ascii="宋体" w:hAnsi="宋体" w:cs="宋体"/>
                <w:sz w:val="28"/>
                <w:szCs w:val="24"/>
                <w:highlight w:val="none"/>
              </w:rPr>
            </w:pPr>
          </w:p>
        </w:tc>
        <w:tc>
          <w:tcPr>
            <w:tcW w:w="1381" w:type="dxa"/>
            <w:noWrap w:val="0"/>
            <w:vAlign w:val="center"/>
          </w:tcPr>
          <w:p w14:paraId="0761D0AA">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认质认价</w:t>
            </w:r>
          </w:p>
        </w:tc>
        <w:tc>
          <w:tcPr>
            <w:tcW w:w="709" w:type="dxa"/>
            <w:gridSpan w:val="2"/>
            <w:noWrap w:val="0"/>
            <w:vAlign w:val="center"/>
          </w:tcPr>
          <w:p w14:paraId="4ED504FF">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847" w:type="dxa"/>
            <w:gridSpan w:val="3"/>
            <w:noWrap w:val="0"/>
            <w:vAlign w:val="center"/>
          </w:tcPr>
          <w:p w14:paraId="3199D54D">
            <w:pPr>
              <w:spacing w:line="300" w:lineRule="exact"/>
              <w:rPr>
                <w:rFonts w:hint="eastAsia" w:ascii="宋体" w:hAnsi="宋体" w:cs="宋体"/>
                <w:sz w:val="28"/>
                <w:szCs w:val="24"/>
                <w:highlight w:val="none"/>
              </w:rPr>
            </w:pPr>
            <w:r>
              <w:rPr>
                <w:rFonts w:hint="eastAsia" w:ascii="宋体" w:hAnsi="宋体" w:cs="宋体"/>
                <w:sz w:val="28"/>
                <w:szCs w:val="24"/>
                <w:highlight w:val="none"/>
              </w:rPr>
              <w:t>未按规定及时办理材料认质认价，扣2分。</w:t>
            </w:r>
          </w:p>
        </w:tc>
        <w:tc>
          <w:tcPr>
            <w:tcW w:w="582" w:type="dxa"/>
            <w:noWrap w:val="0"/>
            <w:vAlign w:val="center"/>
          </w:tcPr>
          <w:p w14:paraId="53531B8E">
            <w:pPr>
              <w:spacing w:line="300" w:lineRule="exact"/>
              <w:jc w:val="center"/>
              <w:rPr>
                <w:rFonts w:hint="eastAsia" w:ascii="宋体" w:hAnsi="宋体" w:cs="宋体"/>
                <w:sz w:val="28"/>
                <w:szCs w:val="24"/>
                <w:highlight w:val="none"/>
              </w:rPr>
            </w:pPr>
          </w:p>
        </w:tc>
        <w:tc>
          <w:tcPr>
            <w:tcW w:w="1090" w:type="dxa"/>
            <w:noWrap w:val="0"/>
            <w:vAlign w:val="center"/>
          </w:tcPr>
          <w:p w14:paraId="6A0E1B23">
            <w:pPr>
              <w:spacing w:line="300" w:lineRule="exact"/>
              <w:jc w:val="center"/>
              <w:rPr>
                <w:rFonts w:hint="eastAsia" w:ascii="宋体" w:hAnsi="宋体" w:cs="宋体"/>
                <w:sz w:val="28"/>
                <w:szCs w:val="24"/>
                <w:highlight w:val="none"/>
              </w:rPr>
            </w:pPr>
          </w:p>
        </w:tc>
      </w:tr>
      <w:tr w14:paraId="5B16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center"/>
          </w:tcPr>
          <w:p w14:paraId="49991164">
            <w:pPr>
              <w:spacing w:line="300" w:lineRule="exact"/>
              <w:jc w:val="center"/>
              <w:rPr>
                <w:rFonts w:hint="eastAsia" w:ascii="宋体" w:hAnsi="宋体" w:cs="宋体"/>
                <w:sz w:val="28"/>
                <w:szCs w:val="24"/>
                <w:highlight w:val="none"/>
              </w:rPr>
            </w:pPr>
          </w:p>
        </w:tc>
        <w:tc>
          <w:tcPr>
            <w:tcW w:w="1381" w:type="dxa"/>
            <w:noWrap w:val="0"/>
            <w:vAlign w:val="center"/>
          </w:tcPr>
          <w:p w14:paraId="1FA62DED">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结算</w:t>
            </w:r>
          </w:p>
        </w:tc>
        <w:tc>
          <w:tcPr>
            <w:tcW w:w="709" w:type="dxa"/>
            <w:gridSpan w:val="2"/>
            <w:noWrap w:val="0"/>
            <w:vAlign w:val="center"/>
          </w:tcPr>
          <w:p w14:paraId="36F66CD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847" w:type="dxa"/>
            <w:gridSpan w:val="3"/>
            <w:noWrap w:val="0"/>
            <w:vAlign w:val="center"/>
          </w:tcPr>
          <w:p w14:paraId="268B7D12">
            <w:pPr>
              <w:spacing w:line="300" w:lineRule="exact"/>
              <w:rPr>
                <w:rFonts w:hint="eastAsia" w:ascii="宋体" w:hAnsi="宋体" w:cs="宋体"/>
                <w:sz w:val="28"/>
                <w:szCs w:val="24"/>
                <w:highlight w:val="none"/>
              </w:rPr>
            </w:pPr>
            <w:r>
              <w:rPr>
                <w:rFonts w:hint="eastAsia" w:ascii="宋体" w:hAnsi="宋体" w:cs="宋体"/>
                <w:sz w:val="28"/>
                <w:szCs w:val="24"/>
                <w:highlight w:val="none"/>
              </w:rPr>
              <w:t>结算资料不符合要求，结算金额无正当理由超合同额，扣3分。</w:t>
            </w:r>
          </w:p>
        </w:tc>
        <w:tc>
          <w:tcPr>
            <w:tcW w:w="582" w:type="dxa"/>
            <w:noWrap w:val="0"/>
            <w:vAlign w:val="center"/>
          </w:tcPr>
          <w:p w14:paraId="16E378A7">
            <w:pPr>
              <w:spacing w:line="300" w:lineRule="exact"/>
              <w:jc w:val="center"/>
              <w:rPr>
                <w:rFonts w:hint="eastAsia" w:ascii="宋体" w:hAnsi="宋体" w:cs="宋体"/>
                <w:sz w:val="28"/>
                <w:szCs w:val="24"/>
                <w:highlight w:val="none"/>
              </w:rPr>
            </w:pPr>
          </w:p>
        </w:tc>
        <w:tc>
          <w:tcPr>
            <w:tcW w:w="1090" w:type="dxa"/>
            <w:noWrap w:val="0"/>
            <w:vAlign w:val="center"/>
          </w:tcPr>
          <w:p w14:paraId="29702008">
            <w:pPr>
              <w:spacing w:line="300" w:lineRule="exact"/>
              <w:jc w:val="center"/>
              <w:rPr>
                <w:rFonts w:hint="eastAsia" w:ascii="宋体" w:hAnsi="宋体" w:cs="宋体"/>
                <w:sz w:val="28"/>
                <w:szCs w:val="24"/>
                <w:highlight w:val="none"/>
              </w:rPr>
            </w:pPr>
          </w:p>
        </w:tc>
      </w:tr>
      <w:tr w14:paraId="4E5A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060" w:type="dxa"/>
            <w:gridSpan w:val="2"/>
            <w:noWrap w:val="0"/>
            <w:vAlign w:val="center"/>
          </w:tcPr>
          <w:p w14:paraId="65A83CA5">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709" w:type="dxa"/>
            <w:gridSpan w:val="2"/>
            <w:noWrap w:val="0"/>
            <w:vAlign w:val="center"/>
          </w:tcPr>
          <w:p w14:paraId="0D818F60">
            <w:pPr>
              <w:spacing w:line="300" w:lineRule="exact"/>
              <w:rPr>
                <w:rFonts w:hint="eastAsia" w:ascii="宋体" w:hAnsi="宋体" w:cs="宋体"/>
                <w:sz w:val="28"/>
                <w:szCs w:val="24"/>
                <w:highlight w:val="none"/>
              </w:rPr>
            </w:pPr>
          </w:p>
        </w:tc>
        <w:tc>
          <w:tcPr>
            <w:tcW w:w="4847" w:type="dxa"/>
            <w:gridSpan w:val="3"/>
            <w:noWrap w:val="0"/>
            <w:vAlign w:val="center"/>
          </w:tcPr>
          <w:p w14:paraId="57CE9DCD">
            <w:pPr>
              <w:spacing w:line="300" w:lineRule="exact"/>
              <w:rPr>
                <w:rFonts w:hint="eastAsia" w:ascii="宋体" w:hAnsi="宋体" w:cs="宋体"/>
                <w:sz w:val="28"/>
                <w:szCs w:val="24"/>
                <w:highlight w:val="none"/>
              </w:rPr>
            </w:pPr>
          </w:p>
        </w:tc>
        <w:tc>
          <w:tcPr>
            <w:tcW w:w="582" w:type="dxa"/>
            <w:noWrap w:val="0"/>
            <w:vAlign w:val="center"/>
          </w:tcPr>
          <w:p w14:paraId="268A9FF5">
            <w:pPr>
              <w:spacing w:line="300" w:lineRule="exact"/>
              <w:jc w:val="center"/>
              <w:rPr>
                <w:rFonts w:hint="eastAsia" w:ascii="宋体" w:hAnsi="宋体" w:cs="宋体"/>
                <w:sz w:val="28"/>
                <w:szCs w:val="24"/>
                <w:highlight w:val="none"/>
              </w:rPr>
            </w:pPr>
          </w:p>
        </w:tc>
        <w:tc>
          <w:tcPr>
            <w:tcW w:w="1090" w:type="dxa"/>
            <w:noWrap w:val="0"/>
            <w:vAlign w:val="center"/>
          </w:tcPr>
          <w:p w14:paraId="3C721843">
            <w:pPr>
              <w:spacing w:line="300" w:lineRule="exact"/>
              <w:jc w:val="center"/>
              <w:rPr>
                <w:rFonts w:hint="eastAsia" w:ascii="宋体" w:hAnsi="宋体" w:cs="宋体"/>
                <w:sz w:val="28"/>
                <w:szCs w:val="24"/>
                <w:highlight w:val="none"/>
              </w:rPr>
            </w:pPr>
          </w:p>
        </w:tc>
      </w:tr>
      <w:tr w14:paraId="616C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288" w:type="dxa"/>
            <w:gridSpan w:val="9"/>
            <w:noWrap w:val="0"/>
            <w:vAlign w:val="center"/>
          </w:tcPr>
          <w:p w14:paraId="6D307ECD">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合同预算部：                                 日期：</w:t>
            </w:r>
          </w:p>
        </w:tc>
      </w:tr>
    </w:tbl>
    <w:p w14:paraId="3E5BD2E6">
      <w:pPr>
        <w:rPr>
          <w:vanish/>
          <w:highlight w:val="none"/>
        </w:rPr>
      </w:pPr>
    </w:p>
    <w:tbl>
      <w:tblPr>
        <w:tblStyle w:val="14"/>
        <w:tblpPr w:leftFromText="180" w:rightFromText="180" w:vertAnchor="text" w:horzAnchor="margin" w:tblpY="5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605"/>
        <w:gridCol w:w="11"/>
        <w:gridCol w:w="685"/>
        <w:gridCol w:w="1559"/>
        <w:gridCol w:w="2255"/>
        <w:gridCol w:w="627"/>
        <w:gridCol w:w="576"/>
        <w:gridCol w:w="1065"/>
      </w:tblGrid>
      <w:tr w14:paraId="68F0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2" w:type="dxa"/>
            <w:gridSpan w:val="2"/>
            <w:noWrap w:val="0"/>
            <w:vAlign w:val="top"/>
          </w:tcPr>
          <w:p w14:paraId="0CF42949">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施工单位名称</w:t>
            </w:r>
          </w:p>
        </w:tc>
        <w:tc>
          <w:tcPr>
            <w:tcW w:w="2255" w:type="dxa"/>
            <w:gridSpan w:val="3"/>
            <w:noWrap w:val="0"/>
            <w:vAlign w:val="top"/>
          </w:tcPr>
          <w:p w14:paraId="0C77A68B">
            <w:pPr>
              <w:spacing w:line="300" w:lineRule="exact"/>
              <w:jc w:val="center"/>
              <w:rPr>
                <w:rFonts w:hint="eastAsia" w:ascii="宋体" w:hAnsi="宋体" w:cs="宋体"/>
                <w:b/>
                <w:bCs/>
                <w:sz w:val="28"/>
                <w:szCs w:val="24"/>
                <w:highlight w:val="none"/>
              </w:rPr>
            </w:pPr>
          </w:p>
        </w:tc>
        <w:tc>
          <w:tcPr>
            <w:tcW w:w="2255" w:type="dxa"/>
            <w:noWrap w:val="0"/>
            <w:vAlign w:val="top"/>
          </w:tcPr>
          <w:p w14:paraId="78D405E5">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268" w:type="dxa"/>
            <w:gridSpan w:val="3"/>
            <w:noWrap w:val="0"/>
            <w:vAlign w:val="top"/>
          </w:tcPr>
          <w:p w14:paraId="5E57617D">
            <w:pPr>
              <w:spacing w:line="300" w:lineRule="exact"/>
              <w:jc w:val="center"/>
              <w:rPr>
                <w:rFonts w:hint="eastAsia" w:ascii="宋体" w:hAnsi="宋体" w:cs="宋体"/>
                <w:b/>
                <w:bCs/>
                <w:sz w:val="28"/>
                <w:szCs w:val="24"/>
                <w:highlight w:val="none"/>
              </w:rPr>
            </w:pPr>
          </w:p>
        </w:tc>
      </w:tr>
      <w:tr w14:paraId="490C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gridSpan w:val="4"/>
            <w:noWrap w:val="0"/>
            <w:vAlign w:val="top"/>
          </w:tcPr>
          <w:p w14:paraId="2D960A20">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考核部门</w:t>
            </w:r>
          </w:p>
        </w:tc>
        <w:tc>
          <w:tcPr>
            <w:tcW w:w="6082" w:type="dxa"/>
            <w:gridSpan w:val="5"/>
            <w:noWrap w:val="0"/>
            <w:vAlign w:val="center"/>
          </w:tcPr>
          <w:p w14:paraId="5F936821">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建设项目部（15分）</w:t>
            </w:r>
          </w:p>
        </w:tc>
      </w:tr>
      <w:tr w14:paraId="019F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noWrap w:val="0"/>
            <w:vAlign w:val="top"/>
          </w:tcPr>
          <w:p w14:paraId="2F0B1D5A">
            <w:pPr>
              <w:spacing w:line="300" w:lineRule="exact"/>
              <w:rPr>
                <w:rFonts w:hint="eastAsia" w:ascii="宋体" w:hAnsi="宋体" w:cs="宋体"/>
                <w:sz w:val="22"/>
                <w:highlight w:val="none"/>
              </w:rPr>
            </w:pPr>
            <w:r>
              <w:rPr>
                <w:rFonts w:hint="eastAsia" w:ascii="宋体" w:hAnsi="宋体" w:cs="宋体"/>
                <w:sz w:val="22"/>
                <w:highlight w:val="none"/>
              </w:rPr>
              <w:t>考核项目</w:t>
            </w:r>
          </w:p>
        </w:tc>
        <w:tc>
          <w:tcPr>
            <w:tcW w:w="1616" w:type="dxa"/>
            <w:gridSpan w:val="2"/>
            <w:noWrap w:val="0"/>
            <w:vAlign w:val="center"/>
          </w:tcPr>
          <w:p w14:paraId="0ED4D704">
            <w:pPr>
              <w:spacing w:line="300" w:lineRule="exact"/>
              <w:jc w:val="center"/>
              <w:rPr>
                <w:rFonts w:hint="eastAsia" w:ascii="宋体" w:hAnsi="宋体" w:cs="宋体"/>
                <w:sz w:val="22"/>
                <w:highlight w:val="none"/>
              </w:rPr>
            </w:pPr>
            <w:r>
              <w:rPr>
                <w:rFonts w:hint="eastAsia" w:ascii="宋体" w:hAnsi="宋体" w:cs="宋体"/>
                <w:sz w:val="22"/>
                <w:highlight w:val="none"/>
              </w:rPr>
              <w:t>考核内容</w:t>
            </w:r>
          </w:p>
        </w:tc>
        <w:tc>
          <w:tcPr>
            <w:tcW w:w="685" w:type="dxa"/>
            <w:noWrap w:val="0"/>
            <w:vAlign w:val="center"/>
          </w:tcPr>
          <w:p w14:paraId="23799E7A">
            <w:pPr>
              <w:spacing w:line="300" w:lineRule="exact"/>
              <w:jc w:val="center"/>
              <w:rPr>
                <w:rFonts w:hint="eastAsia" w:ascii="宋体" w:hAnsi="宋体" w:cs="宋体"/>
                <w:sz w:val="22"/>
                <w:highlight w:val="none"/>
              </w:rPr>
            </w:pPr>
            <w:r>
              <w:rPr>
                <w:rFonts w:hint="eastAsia" w:ascii="宋体" w:hAnsi="宋体" w:cs="宋体"/>
                <w:sz w:val="22"/>
                <w:highlight w:val="none"/>
              </w:rPr>
              <w:t>分值</w:t>
            </w:r>
          </w:p>
        </w:tc>
        <w:tc>
          <w:tcPr>
            <w:tcW w:w="4441" w:type="dxa"/>
            <w:gridSpan w:val="3"/>
            <w:noWrap w:val="0"/>
            <w:vAlign w:val="center"/>
          </w:tcPr>
          <w:p w14:paraId="3BB499CC">
            <w:pPr>
              <w:spacing w:line="300" w:lineRule="exact"/>
              <w:jc w:val="center"/>
              <w:rPr>
                <w:rFonts w:hint="eastAsia" w:ascii="宋体" w:hAnsi="宋体" w:cs="宋体"/>
                <w:sz w:val="22"/>
                <w:highlight w:val="none"/>
              </w:rPr>
            </w:pPr>
            <w:r>
              <w:rPr>
                <w:rFonts w:hint="eastAsia" w:ascii="宋体" w:hAnsi="宋体" w:cs="宋体"/>
                <w:sz w:val="22"/>
                <w:highlight w:val="none"/>
              </w:rPr>
              <w:t>评分标准</w:t>
            </w:r>
          </w:p>
        </w:tc>
        <w:tc>
          <w:tcPr>
            <w:tcW w:w="576" w:type="dxa"/>
            <w:noWrap w:val="0"/>
            <w:vAlign w:val="center"/>
          </w:tcPr>
          <w:p w14:paraId="17D62DCD">
            <w:pPr>
              <w:spacing w:line="300" w:lineRule="exact"/>
              <w:jc w:val="center"/>
              <w:rPr>
                <w:rFonts w:hint="eastAsia" w:ascii="宋体" w:hAnsi="宋体" w:cs="宋体"/>
                <w:sz w:val="22"/>
                <w:highlight w:val="none"/>
              </w:rPr>
            </w:pPr>
            <w:r>
              <w:rPr>
                <w:rFonts w:hint="eastAsia" w:ascii="宋体" w:hAnsi="宋体" w:cs="宋体"/>
                <w:sz w:val="22"/>
                <w:highlight w:val="none"/>
              </w:rPr>
              <w:t>得分</w:t>
            </w:r>
          </w:p>
        </w:tc>
        <w:tc>
          <w:tcPr>
            <w:tcW w:w="1065" w:type="dxa"/>
            <w:noWrap w:val="0"/>
            <w:vAlign w:val="center"/>
          </w:tcPr>
          <w:p w14:paraId="0ED2AE1E">
            <w:pPr>
              <w:spacing w:line="300" w:lineRule="exact"/>
              <w:jc w:val="center"/>
              <w:rPr>
                <w:rFonts w:hint="eastAsia" w:ascii="宋体" w:hAnsi="宋体" w:cs="宋体"/>
                <w:sz w:val="22"/>
                <w:highlight w:val="none"/>
              </w:rPr>
            </w:pPr>
            <w:r>
              <w:rPr>
                <w:rFonts w:hint="eastAsia" w:ascii="宋体" w:hAnsi="宋体" w:cs="宋体"/>
                <w:sz w:val="22"/>
                <w:highlight w:val="none"/>
              </w:rPr>
              <w:t>扣分原因</w:t>
            </w:r>
          </w:p>
        </w:tc>
      </w:tr>
      <w:tr w14:paraId="065A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677" w:type="dxa"/>
            <w:noWrap w:val="0"/>
            <w:vAlign w:val="top"/>
          </w:tcPr>
          <w:p w14:paraId="55AFBB6F">
            <w:pPr>
              <w:spacing w:line="300" w:lineRule="exact"/>
              <w:rPr>
                <w:rFonts w:hint="eastAsia" w:ascii="宋体" w:hAnsi="宋体" w:cs="宋体"/>
                <w:sz w:val="22"/>
                <w:highlight w:val="none"/>
              </w:rPr>
            </w:pPr>
            <w:r>
              <w:rPr>
                <w:rFonts w:hint="eastAsia" w:ascii="宋体" w:hAnsi="宋体" w:cs="宋体"/>
                <w:sz w:val="22"/>
                <w:highlight w:val="none"/>
              </w:rPr>
              <w:t>劳动力配置</w:t>
            </w:r>
          </w:p>
          <w:p w14:paraId="6E324F62">
            <w:pPr>
              <w:spacing w:line="300" w:lineRule="exact"/>
              <w:rPr>
                <w:rFonts w:hint="eastAsia" w:ascii="宋体" w:hAnsi="宋体" w:cs="宋体"/>
                <w:sz w:val="22"/>
                <w:highlight w:val="none"/>
              </w:rPr>
            </w:pPr>
          </w:p>
        </w:tc>
        <w:tc>
          <w:tcPr>
            <w:tcW w:w="1616" w:type="dxa"/>
            <w:gridSpan w:val="2"/>
            <w:noWrap w:val="0"/>
            <w:vAlign w:val="center"/>
          </w:tcPr>
          <w:p w14:paraId="3F15BE64">
            <w:pPr>
              <w:spacing w:line="300" w:lineRule="exact"/>
              <w:rPr>
                <w:rFonts w:hint="eastAsia" w:ascii="宋体" w:hAnsi="宋体" w:cs="宋体"/>
                <w:sz w:val="22"/>
                <w:highlight w:val="none"/>
              </w:rPr>
            </w:pPr>
            <w:r>
              <w:rPr>
                <w:rFonts w:hint="eastAsia" w:ascii="宋体" w:hAnsi="宋体" w:cs="宋体"/>
                <w:sz w:val="22"/>
                <w:highlight w:val="none"/>
              </w:rPr>
              <w:t>劳动力配置符合现场需求，与投标文件一致。</w:t>
            </w:r>
          </w:p>
        </w:tc>
        <w:tc>
          <w:tcPr>
            <w:tcW w:w="685" w:type="dxa"/>
            <w:noWrap w:val="0"/>
            <w:vAlign w:val="center"/>
          </w:tcPr>
          <w:p w14:paraId="4C6D58B0">
            <w:pPr>
              <w:spacing w:line="300" w:lineRule="exact"/>
              <w:jc w:val="center"/>
              <w:rPr>
                <w:rFonts w:hint="eastAsia" w:ascii="宋体" w:hAnsi="宋体" w:cs="宋体"/>
                <w:sz w:val="22"/>
                <w:highlight w:val="none"/>
              </w:rPr>
            </w:pPr>
            <w:r>
              <w:rPr>
                <w:rFonts w:hint="eastAsia" w:ascii="宋体" w:hAnsi="宋体" w:cs="宋体"/>
                <w:sz w:val="22"/>
                <w:highlight w:val="none"/>
              </w:rPr>
              <w:t>3</w:t>
            </w:r>
          </w:p>
        </w:tc>
        <w:tc>
          <w:tcPr>
            <w:tcW w:w="4441" w:type="dxa"/>
            <w:gridSpan w:val="3"/>
            <w:noWrap w:val="0"/>
            <w:vAlign w:val="center"/>
          </w:tcPr>
          <w:p w14:paraId="525264B6">
            <w:pPr>
              <w:spacing w:line="300" w:lineRule="exact"/>
              <w:rPr>
                <w:rFonts w:hint="eastAsia" w:ascii="宋体" w:hAnsi="宋体" w:cs="宋体"/>
                <w:sz w:val="22"/>
                <w:highlight w:val="none"/>
              </w:rPr>
            </w:pPr>
            <w:r>
              <w:rPr>
                <w:rFonts w:hint="eastAsia" w:ascii="宋体" w:hAnsi="宋体" w:cs="宋体"/>
                <w:sz w:val="22"/>
                <w:highlight w:val="none"/>
              </w:rPr>
              <w:t>劳动力配置达不到现场需求，与投标文件一致，扣3分。</w:t>
            </w:r>
          </w:p>
        </w:tc>
        <w:tc>
          <w:tcPr>
            <w:tcW w:w="576" w:type="dxa"/>
            <w:noWrap w:val="0"/>
            <w:vAlign w:val="center"/>
          </w:tcPr>
          <w:p w14:paraId="2FC53E36">
            <w:pPr>
              <w:spacing w:line="300" w:lineRule="exact"/>
              <w:jc w:val="center"/>
              <w:rPr>
                <w:rFonts w:hint="eastAsia" w:ascii="宋体" w:hAnsi="宋体" w:cs="宋体"/>
                <w:sz w:val="22"/>
                <w:highlight w:val="none"/>
              </w:rPr>
            </w:pPr>
          </w:p>
        </w:tc>
        <w:tc>
          <w:tcPr>
            <w:tcW w:w="1065" w:type="dxa"/>
            <w:noWrap w:val="0"/>
            <w:vAlign w:val="center"/>
          </w:tcPr>
          <w:p w14:paraId="60076679">
            <w:pPr>
              <w:spacing w:line="300" w:lineRule="exact"/>
              <w:jc w:val="center"/>
              <w:rPr>
                <w:rFonts w:hint="eastAsia" w:ascii="宋体" w:hAnsi="宋体" w:cs="宋体"/>
                <w:sz w:val="22"/>
                <w:highlight w:val="none"/>
              </w:rPr>
            </w:pPr>
          </w:p>
        </w:tc>
      </w:tr>
      <w:tr w14:paraId="223F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Merge w:val="restart"/>
            <w:noWrap w:val="0"/>
            <w:vAlign w:val="top"/>
          </w:tcPr>
          <w:p w14:paraId="69BF401F">
            <w:pPr>
              <w:spacing w:line="300" w:lineRule="exact"/>
              <w:rPr>
                <w:rFonts w:hint="eastAsia" w:ascii="宋体" w:hAnsi="宋体" w:cs="宋体"/>
                <w:sz w:val="22"/>
                <w:highlight w:val="none"/>
              </w:rPr>
            </w:pPr>
            <w:r>
              <w:rPr>
                <w:rFonts w:hint="eastAsia" w:ascii="宋体" w:hAnsi="宋体" w:cs="宋体"/>
                <w:sz w:val="22"/>
                <w:highlight w:val="none"/>
              </w:rPr>
              <w:t>主要机具、设备的配置</w:t>
            </w:r>
          </w:p>
        </w:tc>
        <w:tc>
          <w:tcPr>
            <w:tcW w:w="1616" w:type="dxa"/>
            <w:gridSpan w:val="2"/>
            <w:noWrap w:val="0"/>
            <w:vAlign w:val="center"/>
          </w:tcPr>
          <w:p w14:paraId="187507F5">
            <w:pPr>
              <w:spacing w:line="300" w:lineRule="exact"/>
              <w:rPr>
                <w:rFonts w:hint="eastAsia" w:ascii="宋体" w:hAnsi="宋体" w:cs="宋体"/>
                <w:sz w:val="22"/>
                <w:highlight w:val="none"/>
              </w:rPr>
            </w:pPr>
            <w:r>
              <w:rPr>
                <w:rFonts w:hint="eastAsia" w:ascii="宋体" w:hAnsi="宋体" w:cs="宋体"/>
                <w:sz w:val="22"/>
                <w:highlight w:val="none"/>
              </w:rPr>
              <w:t>施工机械设备的配置与投标文件一致，满足现场需求。</w:t>
            </w:r>
          </w:p>
        </w:tc>
        <w:tc>
          <w:tcPr>
            <w:tcW w:w="685" w:type="dxa"/>
            <w:noWrap w:val="0"/>
            <w:vAlign w:val="center"/>
          </w:tcPr>
          <w:p w14:paraId="2C4EB1AB">
            <w:pPr>
              <w:spacing w:line="300" w:lineRule="exact"/>
              <w:jc w:val="center"/>
              <w:rPr>
                <w:rFonts w:hint="eastAsia" w:ascii="宋体" w:hAnsi="宋体" w:cs="宋体"/>
                <w:sz w:val="22"/>
                <w:highlight w:val="none"/>
              </w:rPr>
            </w:pPr>
            <w:r>
              <w:rPr>
                <w:rFonts w:hint="eastAsia" w:ascii="宋体" w:hAnsi="宋体" w:cs="宋体"/>
                <w:sz w:val="22"/>
                <w:highlight w:val="none"/>
              </w:rPr>
              <w:t>3</w:t>
            </w:r>
          </w:p>
        </w:tc>
        <w:tc>
          <w:tcPr>
            <w:tcW w:w="4441" w:type="dxa"/>
            <w:gridSpan w:val="3"/>
            <w:noWrap w:val="0"/>
            <w:vAlign w:val="center"/>
          </w:tcPr>
          <w:p w14:paraId="3988CD33">
            <w:pPr>
              <w:spacing w:line="300" w:lineRule="exact"/>
              <w:rPr>
                <w:rFonts w:hint="eastAsia" w:ascii="宋体" w:hAnsi="宋体" w:cs="宋体"/>
                <w:sz w:val="22"/>
                <w:highlight w:val="none"/>
              </w:rPr>
            </w:pPr>
            <w:r>
              <w:rPr>
                <w:rFonts w:hint="eastAsia" w:ascii="宋体" w:hAnsi="宋体" w:cs="宋体"/>
                <w:sz w:val="22"/>
                <w:highlight w:val="none"/>
              </w:rPr>
              <w:t>主要机具、设备的配置不满足现场需求，与投标文件不一致，扣3分。</w:t>
            </w:r>
          </w:p>
        </w:tc>
        <w:tc>
          <w:tcPr>
            <w:tcW w:w="576" w:type="dxa"/>
            <w:noWrap w:val="0"/>
            <w:vAlign w:val="center"/>
          </w:tcPr>
          <w:p w14:paraId="434F954E">
            <w:pPr>
              <w:spacing w:line="300" w:lineRule="exact"/>
              <w:jc w:val="center"/>
              <w:rPr>
                <w:rFonts w:hint="eastAsia" w:ascii="宋体" w:hAnsi="宋体" w:cs="宋体"/>
                <w:sz w:val="22"/>
                <w:highlight w:val="none"/>
              </w:rPr>
            </w:pPr>
          </w:p>
        </w:tc>
        <w:tc>
          <w:tcPr>
            <w:tcW w:w="1065" w:type="dxa"/>
            <w:noWrap w:val="0"/>
            <w:vAlign w:val="center"/>
          </w:tcPr>
          <w:p w14:paraId="69A9C1FD">
            <w:pPr>
              <w:spacing w:line="300" w:lineRule="exact"/>
              <w:jc w:val="center"/>
              <w:rPr>
                <w:rFonts w:hint="eastAsia" w:ascii="宋体" w:hAnsi="宋体" w:cs="宋体"/>
                <w:sz w:val="22"/>
                <w:highlight w:val="none"/>
              </w:rPr>
            </w:pPr>
          </w:p>
        </w:tc>
      </w:tr>
      <w:tr w14:paraId="4B22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Merge w:val="continue"/>
            <w:noWrap w:val="0"/>
            <w:vAlign w:val="top"/>
          </w:tcPr>
          <w:p w14:paraId="75FEABF8">
            <w:pPr>
              <w:spacing w:line="300" w:lineRule="exact"/>
              <w:rPr>
                <w:rFonts w:hint="eastAsia" w:ascii="宋体" w:hAnsi="宋体" w:cs="宋体"/>
                <w:sz w:val="22"/>
                <w:highlight w:val="none"/>
              </w:rPr>
            </w:pPr>
          </w:p>
        </w:tc>
        <w:tc>
          <w:tcPr>
            <w:tcW w:w="1616" w:type="dxa"/>
            <w:gridSpan w:val="2"/>
            <w:noWrap w:val="0"/>
            <w:vAlign w:val="center"/>
          </w:tcPr>
          <w:p w14:paraId="10E7E34D">
            <w:pPr>
              <w:spacing w:line="300" w:lineRule="exact"/>
              <w:rPr>
                <w:rFonts w:hint="eastAsia" w:ascii="宋体" w:hAnsi="宋体" w:cs="宋体"/>
                <w:sz w:val="22"/>
                <w:highlight w:val="none"/>
              </w:rPr>
            </w:pPr>
            <w:r>
              <w:rPr>
                <w:rFonts w:hint="eastAsia" w:ascii="宋体" w:hAnsi="宋体" w:cs="宋体"/>
                <w:sz w:val="22"/>
                <w:highlight w:val="none"/>
              </w:rPr>
              <w:t>试验和检测仪器设备与投标文件一致，满足现场需求。</w:t>
            </w:r>
          </w:p>
        </w:tc>
        <w:tc>
          <w:tcPr>
            <w:tcW w:w="685" w:type="dxa"/>
            <w:noWrap w:val="0"/>
            <w:vAlign w:val="center"/>
          </w:tcPr>
          <w:p w14:paraId="599D7CE2">
            <w:pPr>
              <w:spacing w:line="300" w:lineRule="exact"/>
              <w:jc w:val="center"/>
              <w:rPr>
                <w:rFonts w:hint="eastAsia" w:ascii="宋体" w:hAnsi="宋体" w:cs="宋体"/>
                <w:sz w:val="22"/>
                <w:highlight w:val="none"/>
              </w:rPr>
            </w:pPr>
            <w:r>
              <w:rPr>
                <w:rFonts w:hint="eastAsia" w:ascii="宋体" w:hAnsi="宋体" w:cs="宋体"/>
                <w:sz w:val="22"/>
                <w:highlight w:val="none"/>
              </w:rPr>
              <w:t>2</w:t>
            </w:r>
          </w:p>
        </w:tc>
        <w:tc>
          <w:tcPr>
            <w:tcW w:w="4441" w:type="dxa"/>
            <w:gridSpan w:val="3"/>
            <w:noWrap w:val="0"/>
            <w:vAlign w:val="center"/>
          </w:tcPr>
          <w:p w14:paraId="1332DC56">
            <w:pPr>
              <w:spacing w:line="300" w:lineRule="exact"/>
              <w:rPr>
                <w:rFonts w:hint="eastAsia" w:ascii="宋体" w:hAnsi="宋体" w:cs="宋体"/>
                <w:sz w:val="22"/>
                <w:highlight w:val="none"/>
              </w:rPr>
            </w:pPr>
            <w:r>
              <w:rPr>
                <w:rFonts w:hint="eastAsia" w:ascii="宋体" w:hAnsi="宋体" w:cs="宋体"/>
                <w:sz w:val="22"/>
                <w:highlight w:val="none"/>
              </w:rPr>
              <w:t>试验和检测仪器与投标文件不一致，不满足现场需求，未按要求进行校验，扣2分。</w:t>
            </w:r>
          </w:p>
        </w:tc>
        <w:tc>
          <w:tcPr>
            <w:tcW w:w="576" w:type="dxa"/>
            <w:noWrap w:val="0"/>
            <w:vAlign w:val="center"/>
          </w:tcPr>
          <w:p w14:paraId="5BD961C8">
            <w:pPr>
              <w:spacing w:line="300" w:lineRule="exact"/>
              <w:jc w:val="center"/>
              <w:rPr>
                <w:rFonts w:hint="eastAsia" w:ascii="宋体" w:hAnsi="宋体" w:cs="宋体"/>
                <w:sz w:val="22"/>
                <w:highlight w:val="none"/>
              </w:rPr>
            </w:pPr>
          </w:p>
        </w:tc>
        <w:tc>
          <w:tcPr>
            <w:tcW w:w="1065" w:type="dxa"/>
            <w:noWrap w:val="0"/>
            <w:vAlign w:val="center"/>
          </w:tcPr>
          <w:p w14:paraId="760FFB8E">
            <w:pPr>
              <w:spacing w:line="300" w:lineRule="exact"/>
              <w:jc w:val="center"/>
              <w:rPr>
                <w:rFonts w:hint="eastAsia" w:ascii="宋体" w:hAnsi="宋体" w:cs="宋体"/>
                <w:sz w:val="22"/>
                <w:highlight w:val="none"/>
              </w:rPr>
            </w:pPr>
          </w:p>
        </w:tc>
      </w:tr>
      <w:tr w14:paraId="482F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Merge w:val="restart"/>
            <w:noWrap w:val="0"/>
            <w:vAlign w:val="center"/>
          </w:tcPr>
          <w:p w14:paraId="10729385">
            <w:pPr>
              <w:spacing w:line="300" w:lineRule="exact"/>
              <w:jc w:val="center"/>
              <w:rPr>
                <w:rFonts w:hint="eastAsia" w:ascii="宋体" w:hAnsi="宋体" w:cs="宋体"/>
                <w:sz w:val="22"/>
                <w:highlight w:val="none"/>
              </w:rPr>
            </w:pPr>
            <w:r>
              <w:rPr>
                <w:rFonts w:hint="eastAsia" w:ascii="宋体" w:hAnsi="宋体" w:cs="宋体"/>
                <w:sz w:val="22"/>
                <w:highlight w:val="none"/>
              </w:rPr>
              <w:t>进度控制</w:t>
            </w:r>
          </w:p>
        </w:tc>
        <w:tc>
          <w:tcPr>
            <w:tcW w:w="1616" w:type="dxa"/>
            <w:gridSpan w:val="2"/>
            <w:noWrap w:val="0"/>
            <w:vAlign w:val="center"/>
          </w:tcPr>
          <w:p w14:paraId="6EF60EF0">
            <w:pPr>
              <w:spacing w:line="300" w:lineRule="exact"/>
              <w:jc w:val="center"/>
              <w:rPr>
                <w:rFonts w:hint="eastAsia" w:ascii="宋体" w:hAnsi="宋体" w:cs="宋体"/>
                <w:sz w:val="22"/>
                <w:highlight w:val="none"/>
              </w:rPr>
            </w:pPr>
            <w:r>
              <w:rPr>
                <w:rFonts w:hint="eastAsia" w:ascii="宋体" w:hAnsi="宋体" w:cs="宋体"/>
                <w:sz w:val="22"/>
                <w:highlight w:val="none"/>
              </w:rPr>
              <w:t>进度计划</w:t>
            </w:r>
          </w:p>
        </w:tc>
        <w:tc>
          <w:tcPr>
            <w:tcW w:w="685" w:type="dxa"/>
            <w:noWrap w:val="0"/>
            <w:vAlign w:val="center"/>
          </w:tcPr>
          <w:p w14:paraId="0217AFD2">
            <w:pPr>
              <w:spacing w:line="300" w:lineRule="exact"/>
              <w:jc w:val="center"/>
              <w:rPr>
                <w:rFonts w:hint="eastAsia" w:ascii="宋体" w:hAnsi="宋体" w:cs="宋体"/>
                <w:sz w:val="22"/>
                <w:highlight w:val="none"/>
              </w:rPr>
            </w:pPr>
            <w:r>
              <w:rPr>
                <w:rFonts w:hint="eastAsia" w:ascii="宋体" w:hAnsi="宋体" w:cs="宋体"/>
                <w:sz w:val="22"/>
                <w:highlight w:val="none"/>
              </w:rPr>
              <w:t>2</w:t>
            </w:r>
          </w:p>
        </w:tc>
        <w:tc>
          <w:tcPr>
            <w:tcW w:w="4441" w:type="dxa"/>
            <w:gridSpan w:val="3"/>
            <w:noWrap w:val="0"/>
            <w:vAlign w:val="center"/>
          </w:tcPr>
          <w:p w14:paraId="586DF8FA">
            <w:pPr>
              <w:spacing w:line="300" w:lineRule="exact"/>
              <w:rPr>
                <w:rFonts w:hint="eastAsia" w:ascii="宋体" w:hAnsi="宋体" w:cs="宋体"/>
                <w:sz w:val="22"/>
                <w:highlight w:val="none"/>
              </w:rPr>
            </w:pPr>
            <w:r>
              <w:rPr>
                <w:rFonts w:hint="eastAsia" w:ascii="宋体" w:hAnsi="宋体" w:cs="宋体"/>
                <w:sz w:val="22"/>
                <w:highlight w:val="none"/>
              </w:rPr>
              <w:t>未编制切实可行的进度计划，进度计划未经监理及甲方审批，扣2分。</w:t>
            </w:r>
          </w:p>
        </w:tc>
        <w:tc>
          <w:tcPr>
            <w:tcW w:w="576" w:type="dxa"/>
            <w:noWrap w:val="0"/>
            <w:vAlign w:val="center"/>
          </w:tcPr>
          <w:p w14:paraId="6D46A0C1">
            <w:pPr>
              <w:spacing w:line="300" w:lineRule="exact"/>
              <w:jc w:val="center"/>
              <w:rPr>
                <w:rFonts w:hint="eastAsia" w:ascii="宋体" w:hAnsi="宋体" w:cs="宋体"/>
                <w:sz w:val="22"/>
                <w:highlight w:val="none"/>
              </w:rPr>
            </w:pPr>
          </w:p>
        </w:tc>
        <w:tc>
          <w:tcPr>
            <w:tcW w:w="1065" w:type="dxa"/>
            <w:noWrap w:val="0"/>
            <w:vAlign w:val="center"/>
          </w:tcPr>
          <w:p w14:paraId="46E1B19F">
            <w:pPr>
              <w:spacing w:line="300" w:lineRule="exact"/>
              <w:jc w:val="center"/>
              <w:rPr>
                <w:rFonts w:hint="eastAsia" w:ascii="宋体" w:hAnsi="宋体" w:cs="宋体"/>
                <w:sz w:val="22"/>
                <w:highlight w:val="none"/>
              </w:rPr>
            </w:pPr>
          </w:p>
        </w:tc>
      </w:tr>
      <w:tr w14:paraId="5D56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Merge w:val="continue"/>
            <w:noWrap w:val="0"/>
            <w:vAlign w:val="top"/>
          </w:tcPr>
          <w:p w14:paraId="071EB3AE">
            <w:pPr>
              <w:spacing w:line="300" w:lineRule="exact"/>
              <w:rPr>
                <w:rFonts w:hint="eastAsia" w:ascii="宋体" w:hAnsi="宋体" w:cs="宋体"/>
                <w:sz w:val="22"/>
                <w:highlight w:val="none"/>
              </w:rPr>
            </w:pPr>
          </w:p>
        </w:tc>
        <w:tc>
          <w:tcPr>
            <w:tcW w:w="1616" w:type="dxa"/>
            <w:gridSpan w:val="2"/>
            <w:noWrap w:val="0"/>
            <w:vAlign w:val="center"/>
          </w:tcPr>
          <w:p w14:paraId="6CFCBD1E">
            <w:pPr>
              <w:spacing w:line="300" w:lineRule="exact"/>
              <w:jc w:val="center"/>
              <w:rPr>
                <w:rFonts w:hint="eastAsia" w:ascii="宋体" w:hAnsi="宋体" w:cs="宋体"/>
                <w:sz w:val="22"/>
                <w:highlight w:val="none"/>
              </w:rPr>
            </w:pPr>
            <w:r>
              <w:rPr>
                <w:rFonts w:hint="eastAsia" w:ascii="宋体" w:hAnsi="宋体" w:cs="宋体"/>
                <w:sz w:val="22"/>
                <w:highlight w:val="none"/>
              </w:rPr>
              <w:t>实际进度</w:t>
            </w:r>
          </w:p>
        </w:tc>
        <w:tc>
          <w:tcPr>
            <w:tcW w:w="685" w:type="dxa"/>
            <w:noWrap w:val="0"/>
            <w:vAlign w:val="center"/>
          </w:tcPr>
          <w:p w14:paraId="24FAF86A">
            <w:pPr>
              <w:spacing w:line="300" w:lineRule="exact"/>
              <w:jc w:val="center"/>
              <w:rPr>
                <w:rFonts w:hint="eastAsia" w:ascii="宋体" w:hAnsi="宋体" w:cs="宋体"/>
                <w:sz w:val="22"/>
                <w:highlight w:val="none"/>
              </w:rPr>
            </w:pPr>
            <w:r>
              <w:rPr>
                <w:rFonts w:hint="eastAsia" w:ascii="宋体" w:hAnsi="宋体" w:cs="宋体"/>
                <w:sz w:val="22"/>
                <w:highlight w:val="none"/>
              </w:rPr>
              <w:t>3</w:t>
            </w:r>
          </w:p>
        </w:tc>
        <w:tc>
          <w:tcPr>
            <w:tcW w:w="4441" w:type="dxa"/>
            <w:gridSpan w:val="3"/>
            <w:noWrap w:val="0"/>
            <w:vAlign w:val="center"/>
          </w:tcPr>
          <w:p w14:paraId="59D4E053">
            <w:pPr>
              <w:spacing w:line="300" w:lineRule="exact"/>
              <w:rPr>
                <w:rFonts w:hint="eastAsia" w:ascii="宋体" w:hAnsi="宋体" w:cs="宋体"/>
                <w:sz w:val="22"/>
                <w:highlight w:val="none"/>
              </w:rPr>
            </w:pPr>
            <w:r>
              <w:rPr>
                <w:rFonts w:hint="eastAsia" w:ascii="宋体" w:hAnsi="宋体" w:cs="宋体"/>
                <w:sz w:val="22"/>
                <w:highlight w:val="none"/>
              </w:rPr>
              <w:t>工程实际进度与经确认的进度计划不符，实际进度严重滞后，扣3分。</w:t>
            </w:r>
          </w:p>
        </w:tc>
        <w:tc>
          <w:tcPr>
            <w:tcW w:w="576" w:type="dxa"/>
            <w:noWrap w:val="0"/>
            <w:vAlign w:val="center"/>
          </w:tcPr>
          <w:p w14:paraId="2477FE2D">
            <w:pPr>
              <w:spacing w:line="300" w:lineRule="exact"/>
              <w:jc w:val="center"/>
              <w:rPr>
                <w:rFonts w:hint="eastAsia" w:ascii="宋体" w:hAnsi="宋体" w:cs="宋体"/>
                <w:sz w:val="22"/>
                <w:highlight w:val="none"/>
              </w:rPr>
            </w:pPr>
          </w:p>
        </w:tc>
        <w:tc>
          <w:tcPr>
            <w:tcW w:w="1065" w:type="dxa"/>
            <w:noWrap w:val="0"/>
            <w:vAlign w:val="center"/>
          </w:tcPr>
          <w:p w14:paraId="59F06AFC">
            <w:pPr>
              <w:spacing w:line="300" w:lineRule="exact"/>
              <w:jc w:val="center"/>
              <w:rPr>
                <w:rFonts w:hint="eastAsia" w:ascii="宋体" w:hAnsi="宋体" w:cs="宋体"/>
                <w:sz w:val="22"/>
                <w:highlight w:val="none"/>
              </w:rPr>
            </w:pPr>
          </w:p>
        </w:tc>
      </w:tr>
      <w:tr w14:paraId="1466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Merge w:val="continue"/>
            <w:noWrap w:val="0"/>
            <w:vAlign w:val="top"/>
          </w:tcPr>
          <w:p w14:paraId="5865306F">
            <w:pPr>
              <w:spacing w:line="300" w:lineRule="exact"/>
              <w:rPr>
                <w:rFonts w:hint="eastAsia" w:ascii="宋体" w:hAnsi="宋体" w:cs="宋体"/>
                <w:sz w:val="22"/>
                <w:highlight w:val="none"/>
              </w:rPr>
            </w:pPr>
          </w:p>
        </w:tc>
        <w:tc>
          <w:tcPr>
            <w:tcW w:w="1616" w:type="dxa"/>
            <w:gridSpan w:val="2"/>
            <w:noWrap w:val="0"/>
            <w:vAlign w:val="center"/>
          </w:tcPr>
          <w:p w14:paraId="7E3B1837">
            <w:pPr>
              <w:spacing w:line="300" w:lineRule="exact"/>
              <w:jc w:val="center"/>
              <w:rPr>
                <w:rFonts w:hint="eastAsia" w:ascii="宋体" w:hAnsi="宋体" w:cs="宋体"/>
                <w:sz w:val="22"/>
                <w:highlight w:val="none"/>
              </w:rPr>
            </w:pPr>
            <w:r>
              <w:rPr>
                <w:rFonts w:hint="eastAsia" w:ascii="宋体" w:hAnsi="宋体" w:cs="宋体"/>
                <w:sz w:val="22"/>
                <w:highlight w:val="none"/>
              </w:rPr>
              <w:t>赶工措施</w:t>
            </w:r>
          </w:p>
        </w:tc>
        <w:tc>
          <w:tcPr>
            <w:tcW w:w="685" w:type="dxa"/>
            <w:noWrap w:val="0"/>
            <w:vAlign w:val="center"/>
          </w:tcPr>
          <w:p w14:paraId="17B20600">
            <w:pPr>
              <w:spacing w:line="300" w:lineRule="exact"/>
              <w:jc w:val="center"/>
              <w:rPr>
                <w:rFonts w:hint="eastAsia" w:ascii="宋体" w:hAnsi="宋体" w:cs="宋体"/>
                <w:sz w:val="22"/>
                <w:highlight w:val="none"/>
              </w:rPr>
            </w:pPr>
            <w:r>
              <w:rPr>
                <w:rFonts w:hint="eastAsia" w:ascii="宋体" w:hAnsi="宋体" w:cs="宋体"/>
                <w:sz w:val="22"/>
                <w:highlight w:val="none"/>
              </w:rPr>
              <w:t>2</w:t>
            </w:r>
          </w:p>
        </w:tc>
        <w:tc>
          <w:tcPr>
            <w:tcW w:w="4441" w:type="dxa"/>
            <w:gridSpan w:val="3"/>
            <w:noWrap w:val="0"/>
            <w:vAlign w:val="center"/>
          </w:tcPr>
          <w:p w14:paraId="4A13BA7D">
            <w:pPr>
              <w:rPr>
                <w:rFonts w:hint="eastAsia" w:ascii="宋体" w:hAnsi="宋体" w:cs="宋体"/>
                <w:sz w:val="22"/>
                <w:highlight w:val="none"/>
              </w:rPr>
            </w:pPr>
            <w:r>
              <w:rPr>
                <w:rFonts w:hint="eastAsia" w:ascii="宋体" w:hAnsi="宋体" w:cs="宋体"/>
                <w:sz w:val="22"/>
                <w:highlight w:val="none"/>
              </w:rPr>
              <w:t>工程进度滞后，无赶工方案或赶工方案未报批的，每项扣1分；未采取加快施工进度的措施或措施不力的，扣1分。</w:t>
            </w:r>
          </w:p>
        </w:tc>
        <w:tc>
          <w:tcPr>
            <w:tcW w:w="576" w:type="dxa"/>
            <w:noWrap w:val="0"/>
            <w:vAlign w:val="center"/>
          </w:tcPr>
          <w:p w14:paraId="2C3FB97A">
            <w:pPr>
              <w:spacing w:line="300" w:lineRule="exact"/>
              <w:jc w:val="center"/>
              <w:rPr>
                <w:rFonts w:hint="eastAsia" w:ascii="宋体" w:hAnsi="宋体" w:cs="宋体"/>
                <w:sz w:val="22"/>
                <w:highlight w:val="none"/>
              </w:rPr>
            </w:pPr>
          </w:p>
        </w:tc>
        <w:tc>
          <w:tcPr>
            <w:tcW w:w="1065" w:type="dxa"/>
            <w:noWrap w:val="0"/>
            <w:vAlign w:val="center"/>
          </w:tcPr>
          <w:p w14:paraId="5ABC8F35">
            <w:pPr>
              <w:spacing w:line="300" w:lineRule="exact"/>
              <w:jc w:val="center"/>
              <w:rPr>
                <w:rFonts w:hint="eastAsia" w:ascii="宋体" w:hAnsi="宋体" w:cs="宋体"/>
                <w:sz w:val="22"/>
                <w:highlight w:val="none"/>
              </w:rPr>
            </w:pPr>
          </w:p>
        </w:tc>
      </w:tr>
      <w:tr w14:paraId="4B10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gridSpan w:val="3"/>
            <w:noWrap w:val="0"/>
            <w:vAlign w:val="top"/>
          </w:tcPr>
          <w:p w14:paraId="1CFF8DB0">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685" w:type="dxa"/>
            <w:noWrap w:val="0"/>
            <w:vAlign w:val="center"/>
          </w:tcPr>
          <w:p w14:paraId="7647124E">
            <w:pPr>
              <w:spacing w:line="300" w:lineRule="exact"/>
              <w:jc w:val="center"/>
              <w:rPr>
                <w:rFonts w:hint="eastAsia" w:ascii="宋体" w:hAnsi="宋体" w:cs="宋体"/>
                <w:sz w:val="28"/>
                <w:szCs w:val="24"/>
                <w:highlight w:val="none"/>
              </w:rPr>
            </w:pPr>
          </w:p>
        </w:tc>
        <w:tc>
          <w:tcPr>
            <w:tcW w:w="4441" w:type="dxa"/>
            <w:gridSpan w:val="3"/>
            <w:noWrap w:val="0"/>
            <w:vAlign w:val="center"/>
          </w:tcPr>
          <w:p w14:paraId="731E5C97">
            <w:pPr>
              <w:spacing w:line="300" w:lineRule="exact"/>
              <w:rPr>
                <w:rFonts w:hint="eastAsia" w:ascii="宋体" w:hAnsi="宋体" w:cs="宋体"/>
                <w:sz w:val="28"/>
                <w:szCs w:val="24"/>
                <w:highlight w:val="none"/>
              </w:rPr>
            </w:pPr>
          </w:p>
        </w:tc>
        <w:tc>
          <w:tcPr>
            <w:tcW w:w="576" w:type="dxa"/>
            <w:noWrap w:val="0"/>
            <w:vAlign w:val="center"/>
          </w:tcPr>
          <w:p w14:paraId="5AD576DE">
            <w:pPr>
              <w:spacing w:line="300" w:lineRule="exact"/>
              <w:jc w:val="center"/>
              <w:rPr>
                <w:rFonts w:hint="eastAsia" w:ascii="宋体" w:hAnsi="宋体" w:cs="宋体"/>
                <w:sz w:val="28"/>
                <w:szCs w:val="24"/>
                <w:highlight w:val="none"/>
              </w:rPr>
            </w:pPr>
          </w:p>
        </w:tc>
        <w:tc>
          <w:tcPr>
            <w:tcW w:w="1065" w:type="dxa"/>
            <w:noWrap w:val="0"/>
            <w:vAlign w:val="center"/>
          </w:tcPr>
          <w:p w14:paraId="6B34DE64">
            <w:pPr>
              <w:spacing w:line="300" w:lineRule="exact"/>
              <w:jc w:val="center"/>
              <w:rPr>
                <w:rFonts w:hint="eastAsia" w:ascii="宋体" w:hAnsi="宋体" w:cs="宋体"/>
                <w:sz w:val="28"/>
                <w:szCs w:val="24"/>
                <w:highlight w:val="none"/>
              </w:rPr>
            </w:pPr>
          </w:p>
        </w:tc>
      </w:tr>
      <w:tr w14:paraId="6BE8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9"/>
            <w:noWrap w:val="0"/>
            <w:vAlign w:val="top"/>
          </w:tcPr>
          <w:p w14:paraId="6F0E7B6A">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建设项目部：                                 日期：</w:t>
            </w:r>
          </w:p>
        </w:tc>
      </w:tr>
    </w:tbl>
    <w:p w14:paraId="51AE7445">
      <w:pPr>
        <w:pStyle w:val="6"/>
        <w:ind w:firstLine="560"/>
        <w:rPr>
          <w:rFonts w:hint="eastAsia" w:ascii="宋体" w:hAnsi="宋体" w:cs="宋体"/>
          <w:sz w:val="28"/>
          <w:szCs w:val="28"/>
          <w:highlight w:val="none"/>
        </w:rPr>
      </w:pPr>
    </w:p>
    <w:p w14:paraId="2AFF89AE">
      <w:pPr>
        <w:spacing w:line="460" w:lineRule="exact"/>
        <w:rPr>
          <w:rFonts w:hint="eastAsia" w:ascii="宋体" w:hAnsi="宋体" w:cs="宋体"/>
          <w:b/>
          <w:sz w:val="28"/>
          <w:szCs w:val="24"/>
          <w:highlight w:val="none"/>
        </w:rPr>
      </w:pPr>
      <w:r>
        <w:rPr>
          <w:rFonts w:hint="eastAsia" w:ascii="宋体" w:hAnsi="宋体" w:cs="宋体"/>
          <w:sz w:val="28"/>
          <w:szCs w:val="24"/>
          <w:highlight w:val="none"/>
        </w:rPr>
        <w:br w:type="page"/>
      </w:r>
      <w:r>
        <w:rPr>
          <w:rFonts w:hint="eastAsia" w:ascii="宋体" w:hAnsi="宋体" w:cs="宋体"/>
          <w:sz w:val="28"/>
          <w:szCs w:val="24"/>
          <w:highlight w:val="none"/>
        </w:rPr>
        <w:t xml:space="preserve">附件3                    </w:t>
      </w:r>
      <w:r>
        <w:rPr>
          <w:rFonts w:hint="eastAsia" w:ascii="宋体" w:hAnsi="宋体" w:cs="宋体"/>
          <w:b/>
          <w:sz w:val="28"/>
          <w:szCs w:val="24"/>
          <w:highlight w:val="none"/>
        </w:rPr>
        <w:t>监理单位前期考察评分表</w:t>
      </w:r>
    </w:p>
    <w:p w14:paraId="0F26053B">
      <w:pPr>
        <w:spacing w:line="480" w:lineRule="exact"/>
        <w:rPr>
          <w:rFonts w:hint="eastAsia" w:ascii="宋体" w:hAnsi="宋体" w:cs="宋体"/>
          <w:sz w:val="28"/>
          <w:szCs w:val="24"/>
          <w:highlight w:val="none"/>
        </w:rPr>
      </w:pPr>
      <w:r>
        <w:rPr>
          <w:rFonts w:hint="eastAsia" w:ascii="宋体" w:hAnsi="宋体" w:cs="宋体"/>
          <w:sz w:val="22"/>
          <w:highlight w:val="none"/>
        </w:rPr>
        <w:t>监理单位名称：</w:t>
      </w:r>
      <w:r>
        <w:rPr>
          <w:rFonts w:hint="eastAsia" w:ascii="宋体" w:hAnsi="宋体" w:cs="宋体"/>
          <w:sz w:val="22"/>
          <w:highlight w:val="none"/>
          <w:u w:val="single"/>
        </w:rPr>
        <w:t xml:space="preserve">                       </w:t>
      </w:r>
      <w:r>
        <w:rPr>
          <w:rFonts w:hint="eastAsia" w:ascii="宋体" w:hAnsi="宋体" w:cs="宋体"/>
          <w:sz w:val="22"/>
          <w:highlight w:val="none"/>
        </w:rPr>
        <w:t xml:space="preserve">      考察时间：</w:t>
      </w:r>
      <w:r>
        <w:rPr>
          <w:rFonts w:hint="eastAsia" w:ascii="宋体" w:hAnsi="宋体" w:cs="宋体"/>
          <w:sz w:val="22"/>
          <w:highlight w:val="none"/>
          <w:u w:val="single"/>
        </w:rPr>
        <w:t xml:space="preserve">                    </w:t>
      </w:r>
      <w:r>
        <w:rPr>
          <w:rFonts w:hint="eastAsia" w:ascii="宋体" w:hAnsi="宋体" w:cs="宋体"/>
          <w:sz w:val="22"/>
          <w:highlight w:val="none"/>
        </w:rPr>
        <w:t xml:space="preserve">                      </w:t>
      </w:r>
      <w:r>
        <w:rPr>
          <w:rFonts w:hint="eastAsia" w:ascii="宋体" w:hAnsi="宋体" w:cs="宋体"/>
          <w:sz w:val="22"/>
          <w:highlight w:val="none"/>
        </w:rPr>
        <w:br w:type="textWrapping"/>
      </w:r>
      <w:r>
        <w:rPr>
          <w:rFonts w:hint="eastAsia" w:ascii="宋体" w:hAnsi="宋体" w:cs="宋体"/>
          <w:sz w:val="22"/>
          <w:highlight w:val="none"/>
        </w:rPr>
        <w:t>在建项目：</w:t>
      </w:r>
      <w:r>
        <w:rPr>
          <w:rFonts w:hint="eastAsia" w:ascii="宋体" w:hAnsi="宋体" w:cs="宋体"/>
          <w:sz w:val="22"/>
          <w:highlight w:val="none"/>
          <w:u w:val="single"/>
        </w:rPr>
        <w:t xml:space="preserve">                           </w:t>
      </w:r>
      <w:r>
        <w:rPr>
          <w:rFonts w:hint="eastAsia" w:ascii="宋体" w:hAnsi="宋体" w:cs="宋体"/>
          <w:sz w:val="22"/>
          <w:highlight w:val="none"/>
        </w:rPr>
        <w:t xml:space="preserve">      已竣工项目：</w:t>
      </w:r>
      <w:r>
        <w:rPr>
          <w:rFonts w:hint="eastAsia" w:ascii="宋体" w:hAnsi="宋体" w:cs="宋体"/>
          <w:sz w:val="22"/>
          <w:highlight w:val="none"/>
          <w:u w:val="single"/>
        </w:rPr>
        <w:t xml:space="preserve">                       </w:t>
      </w:r>
      <w:r>
        <w:rPr>
          <w:rFonts w:hint="eastAsia" w:ascii="宋体" w:hAnsi="宋体" w:cs="宋体"/>
          <w:sz w:val="28"/>
          <w:szCs w:val="24"/>
          <w:highlight w:val="none"/>
          <w:u w:val="single"/>
        </w:rPr>
        <w:t xml:space="preserve">                             </w:t>
      </w:r>
      <w:r>
        <w:rPr>
          <w:rFonts w:hint="eastAsia" w:ascii="宋体" w:hAnsi="宋体" w:cs="宋体"/>
          <w:sz w:val="28"/>
          <w:szCs w:val="24"/>
          <w:highlight w:val="none"/>
        </w:rPr>
        <w:t xml:space="preserve">                 </w:t>
      </w:r>
    </w:p>
    <w:tbl>
      <w:tblPr>
        <w:tblStyle w:val="14"/>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2355"/>
        <w:gridCol w:w="601"/>
        <w:gridCol w:w="1100"/>
        <w:gridCol w:w="1200"/>
        <w:gridCol w:w="1200"/>
        <w:gridCol w:w="1183"/>
        <w:gridCol w:w="1063"/>
      </w:tblGrid>
      <w:tr w14:paraId="4FA0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gridSpan w:val="2"/>
            <w:noWrap w:val="0"/>
            <w:vAlign w:val="center"/>
          </w:tcPr>
          <w:p w14:paraId="22190FDC">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考察项目名称</w:t>
            </w:r>
          </w:p>
        </w:tc>
        <w:tc>
          <w:tcPr>
            <w:tcW w:w="601" w:type="dxa"/>
            <w:noWrap w:val="0"/>
            <w:vAlign w:val="center"/>
          </w:tcPr>
          <w:p w14:paraId="6A3063CC">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分值</w:t>
            </w:r>
          </w:p>
        </w:tc>
        <w:tc>
          <w:tcPr>
            <w:tcW w:w="1100" w:type="dxa"/>
            <w:noWrap w:val="0"/>
            <w:vAlign w:val="center"/>
          </w:tcPr>
          <w:p w14:paraId="7146A6E3">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好</w:t>
            </w:r>
          </w:p>
          <w:p w14:paraId="428011BC">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（x1.0）</w:t>
            </w:r>
          </w:p>
        </w:tc>
        <w:tc>
          <w:tcPr>
            <w:tcW w:w="1200" w:type="dxa"/>
            <w:noWrap w:val="0"/>
            <w:vAlign w:val="center"/>
          </w:tcPr>
          <w:p w14:paraId="089F18F0">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较好</w:t>
            </w:r>
          </w:p>
          <w:p w14:paraId="5242FCAA">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（x0.8）</w:t>
            </w:r>
          </w:p>
        </w:tc>
        <w:tc>
          <w:tcPr>
            <w:tcW w:w="1200" w:type="dxa"/>
            <w:noWrap w:val="0"/>
            <w:vAlign w:val="center"/>
          </w:tcPr>
          <w:p w14:paraId="0A85F5DE">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一般</w:t>
            </w:r>
          </w:p>
          <w:p w14:paraId="473478DF">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（x0.6）</w:t>
            </w:r>
          </w:p>
        </w:tc>
        <w:tc>
          <w:tcPr>
            <w:tcW w:w="1183" w:type="dxa"/>
            <w:noWrap w:val="0"/>
            <w:vAlign w:val="center"/>
          </w:tcPr>
          <w:p w14:paraId="4F2A213F">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较差</w:t>
            </w:r>
          </w:p>
          <w:p w14:paraId="10F6C497">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（x0.2）</w:t>
            </w:r>
          </w:p>
        </w:tc>
        <w:tc>
          <w:tcPr>
            <w:tcW w:w="1063" w:type="dxa"/>
            <w:noWrap w:val="0"/>
            <w:vAlign w:val="center"/>
          </w:tcPr>
          <w:p w14:paraId="0D0B7EFC">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差</w:t>
            </w:r>
          </w:p>
          <w:p w14:paraId="66FD2E41">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（x0.0）</w:t>
            </w:r>
          </w:p>
        </w:tc>
      </w:tr>
      <w:tr w14:paraId="213A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restart"/>
            <w:noWrap w:val="0"/>
            <w:vAlign w:val="center"/>
          </w:tcPr>
          <w:p w14:paraId="4D0B8916">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监理</w:t>
            </w:r>
          </w:p>
          <w:p w14:paraId="2B296955">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公司</w:t>
            </w:r>
          </w:p>
          <w:p w14:paraId="318E43EB">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考察</w:t>
            </w:r>
          </w:p>
          <w:p w14:paraId="62C49FBE">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（20分）</w:t>
            </w:r>
          </w:p>
        </w:tc>
        <w:tc>
          <w:tcPr>
            <w:tcW w:w="2355" w:type="dxa"/>
            <w:noWrap w:val="0"/>
            <w:vAlign w:val="center"/>
          </w:tcPr>
          <w:p w14:paraId="7B483A4C">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近年业绩和经营状况</w:t>
            </w:r>
          </w:p>
        </w:tc>
        <w:tc>
          <w:tcPr>
            <w:tcW w:w="601" w:type="dxa"/>
            <w:noWrap w:val="0"/>
            <w:vAlign w:val="center"/>
          </w:tcPr>
          <w:p w14:paraId="23E7C880">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5分</w:t>
            </w:r>
          </w:p>
        </w:tc>
        <w:tc>
          <w:tcPr>
            <w:tcW w:w="1100" w:type="dxa"/>
            <w:noWrap w:val="0"/>
            <w:vAlign w:val="top"/>
          </w:tcPr>
          <w:p w14:paraId="1133AC0C">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295CE684">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7B2319AC">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3C1497B2">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68E94760">
            <w:pPr>
              <w:kinsoku w:val="0"/>
              <w:overflowPunct w:val="0"/>
              <w:autoSpaceDE w:val="0"/>
              <w:autoSpaceDN w:val="0"/>
              <w:snapToGrid w:val="0"/>
              <w:spacing w:line="360" w:lineRule="exact"/>
              <w:rPr>
                <w:rFonts w:hint="eastAsia" w:ascii="宋体" w:hAnsi="宋体" w:cs="宋体"/>
                <w:sz w:val="22"/>
                <w:highlight w:val="none"/>
              </w:rPr>
            </w:pPr>
          </w:p>
        </w:tc>
      </w:tr>
      <w:tr w14:paraId="34D7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4D28B2FA">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55116DBE">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对合作的重视程度</w:t>
            </w:r>
          </w:p>
        </w:tc>
        <w:tc>
          <w:tcPr>
            <w:tcW w:w="601" w:type="dxa"/>
            <w:noWrap w:val="0"/>
            <w:vAlign w:val="center"/>
          </w:tcPr>
          <w:p w14:paraId="5E31E84D">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5分</w:t>
            </w:r>
          </w:p>
        </w:tc>
        <w:tc>
          <w:tcPr>
            <w:tcW w:w="1100" w:type="dxa"/>
            <w:noWrap w:val="0"/>
            <w:vAlign w:val="top"/>
          </w:tcPr>
          <w:p w14:paraId="333B84C9">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3B313C64">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037CEBDC">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045D8016">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09D2E0F9">
            <w:pPr>
              <w:kinsoku w:val="0"/>
              <w:overflowPunct w:val="0"/>
              <w:autoSpaceDE w:val="0"/>
              <w:autoSpaceDN w:val="0"/>
              <w:snapToGrid w:val="0"/>
              <w:spacing w:line="360" w:lineRule="exact"/>
              <w:rPr>
                <w:rFonts w:hint="eastAsia" w:ascii="宋体" w:hAnsi="宋体" w:cs="宋体"/>
                <w:sz w:val="22"/>
                <w:highlight w:val="none"/>
              </w:rPr>
            </w:pPr>
          </w:p>
        </w:tc>
      </w:tr>
      <w:tr w14:paraId="0918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324FDF08">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248BF2FE">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经营管理体制</w:t>
            </w:r>
          </w:p>
        </w:tc>
        <w:tc>
          <w:tcPr>
            <w:tcW w:w="601" w:type="dxa"/>
            <w:noWrap w:val="0"/>
            <w:vAlign w:val="center"/>
          </w:tcPr>
          <w:p w14:paraId="3CB47110">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5分</w:t>
            </w:r>
          </w:p>
        </w:tc>
        <w:tc>
          <w:tcPr>
            <w:tcW w:w="1100" w:type="dxa"/>
            <w:noWrap w:val="0"/>
            <w:vAlign w:val="top"/>
          </w:tcPr>
          <w:p w14:paraId="15359F65">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5EDF8F7D">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1FCE3994">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2BBECC5E">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7A4E1200">
            <w:pPr>
              <w:kinsoku w:val="0"/>
              <w:overflowPunct w:val="0"/>
              <w:autoSpaceDE w:val="0"/>
              <w:autoSpaceDN w:val="0"/>
              <w:snapToGrid w:val="0"/>
              <w:spacing w:line="360" w:lineRule="exact"/>
              <w:rPr>
                <w:rFonts w:hint="eastAsia" w:ascii="宋体" w:hAnsi="宋体" w:cs="宋体"/>
                <w:sz w:val="22"/>
                <w:highlight w:val="none"/>
              </w:rPr>
            </w:pPr>
          </w:p>
        </w:tc>
      </w:tr>
      <w:tr w14:paraId="6F31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756615BE">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3B0C8DAC">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对监理项目部的管理和支持</w:t>
            </w:r>
          </w:p>
        </w:tc>
        <w:tc>
          <w:tcPr>
            <w:tcW w:w="601" w:type="dxa"/>
            <w:noWrap w:val="0"/>
            <w:vAlign w:val="center"/>
          </w:tcPr>
          <w:p w14:paraId="17887445">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5分</w:t>
            </w:r>
          </w:p>
        </w:tc>
        <w:tc>
          <w:tcPr>
            <w:tcW w:w="1100" w:type="dxa"/>
            <w:noWrap w:val="0"/>
            <w:vAlign w:val="top"/>
          </w:tcPr>
          <w:p w14:paraId="2CECA445">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010656BD">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4627B5AB">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5AB3E59E">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75ECC557">
            <w:pPr>
              <w:kinsoku w:val="0"/>
              <w:overflowPunct w:val="0"/>
              <w:autoSpaceDE w:val="0"/>
              <w:autoSpaceDN w:val="0"/>
              <w:snapToGrid w:val="0"/>
              <w:spacing w:line="360" w:lineRule="exact"/>
              <w:rPr>
                <w:rFonts w:hint="eastAsia" w:ascii="宋体" w:hAnsi="宋体" w:cs="宋体"/>
                <w:sz w:val="22"/>
                <w:highlight w:val="none"/>
              </w:rPr>
            </w:pPr>
          </w:p>
        </w:tc>
      </w:tr>
      <w:tr w14:paraId="35F6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restart"/>
            <w:noWrap w:val="0"/>
            <w:vAlign w:val="center"/>
          </w:tcPr>
          <w:p w14:paraId="27B9D2B2">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监理</w:t>
            </w:r>
          </w:p>
          <w:p w14:paraId="14DF5BB8">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项目</w:t>
            </w:r>
          </w:p>
          <w:p w14:paraId="080E6A6D">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部和</w:t>
            </w:r>
          </w:p>
          <w:p w14:paraId="35F6F203">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专业</w:t>
            </w:r>
          </w:p>
          <w:p w14:paraId="522C7877">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人员</w:t>
            </w:r>
          </w:p>
          <w:p w14:paraId="1759B5F2">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（30分）</w:t>
            </w:r>
          </w:p>
        </w:tc>
        <w:tc>
          <w:tcPr>
            <w:tcW w:w="2355" w:type="dxa"/>
            <w:noWrap w:val="0"/>
            <w:vAlign w:val="center"/>
          </w:tcPr>
          <w:p w14:paraId="69D9F7A8">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整体情况</w:t>
            </w:r>
          </w:p>
        </w:tc>
        <w:tc>
          <w:tcPr>
            <w:tcW w:w="601" w:type="dxa"/>
            <w:noWrap w:val="0"/>
            <w:vAlign w:val="center"/>
          </w:tcPr>
          <w:p w14:paraId="3904DB4F">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5分</w:t>
            </w:r>
          </w:p>
        </w:tc>
        <w:tc>
          <w:tcPr>
            <w:tcW w:w="1100" w:type="dxa"/>
            <w:noWrap w:val="0"/>
            <w:vAlign w:val="top"/>
          </w:tcPr>
          <w:p w14:paraId="3BE319B2">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587086A3">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3C1642EA">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2093F3DC">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4CE1A893">
            <w:pPr>
              <w:kinsoku w:val="0"/>
              <w:overflowPunct w:val="0"/>
              <w:autoSpaceDE w:val="0"/>
              <w:autoSpaceDN w:val="0"/>
              <w:snapToGrid w:val="0"/>
              <w:spacing w:line="360" w:lineRule="exact"/>
              <w:rPr>
                <w:rFonts w:hint="eastAsia" w:ascii="宋体" w:hAnsi="宋体" w:cs="宋体"/>
                <w:sz w:val="22"/>
                <w:highlight w:val="none"/>
              </w:rPr>
            </w:pPr>
          </w:p>
        </w:tc>
      </w:tr>
      <w:tr w14:paraId="5ADD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1B0F1690">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148187EA">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总监理工程师</w:t>
            </w:r>
          </w:p>
        </w:tc>
        <w:tc>
          <w:tcPr>
            <w:tcW w:w="601" w:type="dxa"/>
            <w:noWrap w:val="0"/>
            <w:vAlign w:val="center"/>
          </w:tcPr>
          <w:p w14:paraId="7FE6FBD5">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10分</w:t>
            </w:r>
          </w:p>
        </w:tc>
        <w:tc>
          <w:tcPr>
            <w:tcW w:w="1100" w:type="dxa"/>
            <w:noWrap w:val="0"/>
            <w:vAlign w:val="top"/>
          </w:tcPr>
          <w:p w14:paraId="716ED32B">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1CAAD9D0">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2B335F7C">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36C4B18E">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113134DE">
            <w:pPr>
              <w:kinsoku w:val="0"/>
              <w:overflowPunct w:val="0"/>
              <w:autoSpaceDE w:val="0"/>
              <w:autoSpaceDN w:val="0"/>
              <w:snapToGrid w:val="0"/>
              <w:spacing w:line="360" w:lineRule="exact"/>
              <w:rPr>
                <w:rFonts w:hint="eastAsia" w:ascii="宋体" w:hAnsi="宋体" w:cs="宋体"/>
                <w:sz w:val="22"/>
                <w:highlight w:val="none"/>
              </w:rPr>
            </w:pPr>
          </w:p>
        </w:tc>
      </w:tr>
      <w:tr w14:paraId="3318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211116B4">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1E349B35">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总监代表</w:t>
            </w:r>
          </w:p>
        </w:tc>
        <w:tc>
          <w:tcPr>
            <w:tcW w:w="601" w:type="dxa"/>
            <w:noWrap w:val="0"/>
            <w:vAlign w:val="center"/>
          </w:tcPr>
          <w:p w14:paraId="6A69B8B9">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5分</w:t>
            </w:r>
          </w:p>
        </w:tc>
        <w:tc>
          <w:tcPr>
            <w:tcW w:w="1100" w:type="dxa"/>
            <w:noWrap w:val="0"/>
            <w:vAlign w:val="top"/>
          </w:tcPr>
          <w:p w14:paraId="5C125392">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5BFD8ED2">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6F730FC0">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22DB139F">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551D57DF">
            <w:pPr>
              <w:kinsoku w:val="0"/>
              <w:overflowPunct w:val="0"/>
              <w:autoSpaceDE w:val="0"/>
              <w:autoSpaceDN w:val="0"/>
              <w:snapToGrid w:val="0"/>
              <w:spacing w:line="360" w:lineRule="exact"/>
              <w:rPr>
                <w:rFonts w:hint="eastAsia" w:ascii="宋体" w:hAnsi="宋体" w:cs="宋体"/>
                <w:sz w:val="22"/>
                <w:highlight w:val="none"/>
              </w:rPr>
            </w:pPr>
          </w:p>
        </w:tc>
      </w:tr>
      <w:tr w14:paraId="2BC5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7BF3A011">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24AE215C">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专业监理工程师</w:t>
            </w:r>
          </w:p>
        </w:tc>
        <w:tc>
          <w:tcPr>
            <w:tcW w:w="601" w:type="dxa"/>
            <w:noWrap w:val="0"/>
            <w:vAlign w:val="center"/>
          </w:tcPr>
          <w:p w14:paraId="65EC526A">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5分</w:t>
            </w:r>
          </w:p>
        </w:tc>
        <w:tc>
          <w:tcPr>
            <w:tcW w:w="1100" w:type="dxa"/>
            <w:noWrap w:val="0"/>
            <w:vAlign w:val="top"/>
          </w:tcPr>
          <w:p w14:paraId="2C08C041">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510D7C82">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451BBF53">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78E35D9F">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3623F3C2">
            <w:pPr>
              <w:kinsoku w:val="0"/>
              <w:overflowPunct w:val="0"/>
              <w:autoSpaceDE w:val="0"/>
              <w:autoSpaceDN w:val="0"/>
              <w:snapToGrid w:val="0"/>
              <w:spacing w:line="360" w:lineRule="exact"/>
              <w:rPr>
                <w:rFonts w:hint="eastAsia" w:ascii="宋体" w:hAnsi="宋体" w:cs="宋体"/>
                <w:sz w:val="22"/>
                <w:highlight w:val="none"/>
              </w:rPr>
            </w:pPr>
          </w:p>
        </w:tc>
      </w:tr>
      <w:tr w14:paraId="0CCE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30" w:type="dxa"/>
            <w:vMerge w:val="continue"/>
            <w:noWrap w:val="0"/>
            <w:vAlign w:val="center"/>
          </w:tcPr>
          <w:p w14:paraId="332EAC57">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0E42548E">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规范、检测工具及配套设备</w:t>
            </w:r>
          </w:p>
        </w:tc>
        <w:tc>
          <w:tcPr>
            <w:tcW w:w="601" w:type="dxa"/>
            <w:noWrap w:val="0"/>
            <w:vAlign w:val="center"/>
          </w:tcPr>
          <w:p w14:paraId="138FC1E3">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5分</w:t>
            </w:r>
          </w:p>
        </w:tc>
        <w:tc>
          <w:tcPr>
            <w:tcW w:w="1100" w:type="dxa"/>
            <w:noWrap w:val="0"/>
            <w:vAlign w:val="top"/>
          </w:tcPr>
          <w:p w14:paraId="781A1796">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0D72C9DE">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6B53988D">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68A66836">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773F50F7">
            <w:pPr>
              <w:kinsoku w:val="0"/>
              <w:overflowPunct w:val="0"/>
              <w:autoSpaceDE w:val="0"/>
              <w:autoSpaceDN w:val="0"/>
              <w:snapToGrid w:val="0"/>
              <w:spacing w:line="360" w:lineRule="exact"/>
              <w:rPr>
                <w:rFonts w:hint="eastAsia" w:ascii="宋体" w:hAnsi="宋体" w:cs="宋体"/>
                <w:sz w:val="22"/>
                <w:highlight w:val="none"/>
              </w:rPr>
            </w:pPr>
          </w:p>
        </w:tc>
      </w:tr>
      <w:tr w14:paraId="1FE9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dxa"/>
            <w:vMerge w:val="restart"/>
            <w:noWrap w:val="0"/>
            <w:vAlign w:val="center"/>
          </w:tcPr>
          <w:p w14:paraId="224F3DE3">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目前在建监理工程</w:t>
            </w:r>
          </w:p>
          <w:p w14:paraId="3E021E42">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（30分）</w:t>
            </w:r>
          </w:p>
        </w:tc>
        <w:tc>
          <w:tcPr>
            <w:tcW w:w="2355" w:type="dxa"/>
            <w:noWrap w:val="0"/>
            <w:vAlign w:val="center"/>
          </w:tcPr>
          <w:p w14:paraId="03EA6D30">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项目监理部的组织机构</w:t>
            </w:r>
          </w:p>
        </w:tc>
        <w:tc>
          <w:tcPr>
            <w:tcW w:w="601" w:type="dxa"/>
            <w:noWrap w:val="0"/>
            <w:vAlign w:val="center"/>
          </w:tcPr>
          <w:p w14:paraId="5065A5E5">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6分</w:t>
            </w:r>
          </w:p>
        </w:tc>
        <w:tc>
          <w:tcPr>
            <w:tcW w:w="1100" w:type="dxa"/>
            <w:noWrap w:val="0"/>
            <w:vAlign w:val="top"/>
          </w:tcPr>
          <w:p w14:paraId="20D17327">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427DD09F">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3D073509">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0280ECFB">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63D34A0C">
            <w:pPr>
              <w:kinsoku w:val="0"/>
              <w:overflowPunct w:val="0"/>
              <w:autoSpaceDE w:val="0"/>
              <w:autoSpaceDN w:val="0"/>
              <w:snapToGrid w:val="0"/>
              <w:spacing w:line="360" w:lineRule="exact"/>
              <w:rPr>
                <w:rFonts w:hint="eastAsia" w:ascii="宋体" w:hAnsi="宋体" w:cs="宋体"/>
                <w:sz w:val="22"/>
                <w:highlight w:val="none"/>
              </w:rPr>
            </w:pPr>
          </w:p>
        </w:tc>
      </w:tr>
      <w:tr w14:paraId="0F6E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36060349">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5BD63365">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对工程实体质量的管理</w:t>
            </w:r>
          </w:p>
        </w:tc>
        <w:tc>
          <w:tcPr>
            <w:tcW w:w="601" w:type="dxa"/>
            <w:noWrap w:val="0"/>
            <w:vAlign w:val="center"/>
          </w:tcPr>
          <w:p w14:paraId="1DC5772A">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6分</w:t>
            </w:r>
          </w:p>
        </w:tc>
        <w:tc>
          <w:tcPr>
            <w:tcW w:w="1100" w:type="dxa"/>
            <w:noWrap w:val="0"/>
            <w:vAlign w:val="top"/>
          </w:tcPr>
          <w:p w14:paraId="79D32348">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1BB0F5EA">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7DE7880C">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503C4C37">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4819D394">
            <w:pPr>
              <w:kinsoku w:val="0"/>
              <w:overflowPunct w:val="0"/>
              <w:autoSpaceDE w:val="0"/>
              <w:autoSpaceDN w:val="0"/>
              <w:snapToGrid w:val="0"/>
              <w:spacing w:line="360" w:lineRule="exact"/>
              <w:rPr>
                <w:rFonts w:hint="eastAsia" w:ascii="宋体" w:hAnsi="宋体" w:cs="宋体"/>
                <w:sz w:val="22"/>
                <w:highlight w:val="none"/>
              </w:rPr>
            </w:pPr>
          </w:p>
        </w:tc>
      </w:tr>
      <w:tr w14:paraId="5B77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14B344B1">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4C084B9E">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对工程进度的管理</w:t>
            </w:r>
          </w:p>
        </w:tc>
        <w:tc>
          <w:tcPr>
            <w:tcW w:w="601" w:type="dxa"/>
            <w:noWrap w:val="0"/>
            <w:vAlign w:val="center"/>
          </w:tcPr>
          <w:p w14:paraId="14346F8D">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6分</w:t>
            </w:r>
          </w:p>
        </w:tc>
        <w:tc>
          <w:tcPr>
            <w:tcW w:w="1100" w:type="dxa"/>
            <w:noWrap w:val="0"/>
            <w:vAlign w:val="top"/>
          </w:tcPr>
          <w:p w14:paraId="30A83387">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71A24D84">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17DE5384">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7B0E460B">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7DBAE587">
            <w:pPr>
              <w:kinsoku w:val="0"/>
              <w:overflowPunct w:val="0"/>
              <w:autoSpaceDE w:val="0"/>
              <w:autoSpaceDN w:val="0"/>
              <w:snapToGrid w:val="0"/>
              <w:spacing w:line="360" w:lineRule="exact"/>
              <w:rPr>
                <w:rFonts w:hint="eastAsia" w:ascii="宋体" w:hAnsi="宋体" w:cs="宋体"/>
                <w:sz w:val="22"/>
                <w:highlight w:val="none"/>
              </w:rPr>
            </w:pPr>
          </w:p>
        </w:tc>
      </w:tr>
      <w:tr w14:paraId="5041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7656EFD3">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7524F259">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对安全生产文明施工的</w:t>
            </w:r>
          </w:p>
        </w:tc>
        <w:tc>
          <w:tcPr>
            <w:tcW w:w="601" w:type="dxa"/>
            <w:noWrap w:val="0"/>
            <w:vAlign w:val="center"/>
          </w:tcPr>
          <w:p w14:paraId="637414D4">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6分</w:t>
            </w:r>
          </w:p>
        </w:tc>
        <w:tc>
          <w:tcPr>
            <w:tcW w:w="1100" w:type="dxa"/>
            <w:noWrap w:val="0"/>
            <w:vAlign w:val="top"/>
          </w:tcPr>
          <w:p w14:paraId="4A1850C7">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08984921">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40977775">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22F7CE72">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12B26283">
            <w:pPr>
              <w:kinsoku w:val="0"/>
              <w:overflowPunct w:val="0"/>
              <w:autoSpaceDE w:val="0"/>
              <w:autoSpaceDN w:val="0"/>
              <w:snapToGrid w:val="0"/>
              <w:spacing w:line="360" w:lineRule="exact"/>
              <w:rPr>
                <w:rFonts w:hint="eastAsia" w:ascii="宋体" w:hAnsi="宋体" w:cs="宋体"/>
                <w:sz w:val="22"/>
                <w:highlight w:val="none"/>
              </w:rPr>
            </w:pPr>
          </w:p>
        </w:tc>
      </w:tr>
      <w:tr w14:paraId="146A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7AC2F4ED">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679DB8FC">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工程资料</w:t>
            </w:r>
          </w:p>
        </w:tc>
        <w:tc>
          <w:tcPr>
            <w:tcW w:w="601" w:type="dxa"/>
            <w:noWrap w:val="0"/>
            <w:vAlign w:val="center"/>
          </w:tcPr>
          <w:p w14:paraId="569A9A3C">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6分</w:t>
            </w:r>
          </w:p>
        </w:tc>
        <w:tc>
          <w:tcPr>
            <w:tcW w:w="1100" w:type="dxa"/>
            <w:noWrap w:val="0"/>
            <w:vAlign w:val="top"/>
          </w:tcPr>
          <w:p w14:paraId="58465A7B">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22688DD1">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1DE0EA5E">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25356AD9">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72558E61">
            <w:pPr>
              <w:kinsoku w:val="0"/>
              <w:overflowPunct w:val="0"/>
              <w:autoSpaceDE w:val="0"/>
              <w:autoSpaceDN w:val="0"/>
              <w:snapToGrid w:val="0"/>
              <w:spacing w:line="360" w:lineRule="exact"/>
              <w:rPr>
                <w:rFonts w:hint="eastAsia" w:ascii="宋体" w:hAnsi="宋体" w:cs="宋体"/>
                <w:sz w:val="22"/>
                <w:highlight w:val="none"/>
              </w:rPr>
            </w:pPr>
          </w:p>
        </w:tc>
      </w:tr>
      <w:tr w14:paraId="45F7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restart"/>
            <w:noWrap w:val="0"/>
            <w:vAlign w:val="center"/>
          </w:tcPr>
          <w:p w14:paraId="709B4FD5">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已竣工工程（20分）</w:t>
            </w:r>
          </w:p>
        </w:tc>
        <w:tc>
          <w:tcPr>
            <w:tcW w:w="2355" w:type="dxa"/>
            <w:noWrap w:val="0"/>
            <w:vAlign w:val="center"/>
          </w:tcPr>
          <w:p w14:paraId="62C20B95">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外部观感</w:t>
            </w:r>
          </w:p>
        </w:tc>
        <w:tc>
          <w:tcPr>
            <w:tcW w:w="601" w:type="dxa"/>
            <w:noWrap w:val="0"/>
            <w:vAlign w:val="center"/>
          </w:tcPr>
          <w:p w14:paraId="4EC2D51F">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6分</w:t>
            </w:r>
          </w:p>
        </w:tc>
        <w:tc>
          <w:tcPr>
            <w:tcW w:w="1100" w:type="dxa"/>
            <w:noWrap w:val="0"/>
            <w:vAlign w:val="top"/>
          </w:tcPr>
          <w:p w14:paraId="0487E913">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426D3686">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3C7DE6D7">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41C41BCD">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43A362FD">
            <w:pPr>
              <w:kinsoku w:val="0"/>
              <w:overflowPunct w:val="0"/>
              <w:autoSpaceDE w:val="0"/>
              <w:autoSpaceDN w:val="0"/>
              <w:snapToGrid w:val="0"/>
              <w:spacing w:line="360" w:lineRule="exact"/>
              <w:rPr>
                <w:rFonts w:hint="eastAsia" w:ascii="宋体" w:hAnsi="宋体" w:cs="宋体"/>
                <w:sz w:val="22"/>
                <w:highlight w:val="none"/>
              </w:rPr>
            </w:pPr>
          </w:p>
        </w:tc>
      </w:tr>
      <w:tr w14:paraId="55BE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640E08E9">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64EE2A9D">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内部观感</w:t>
            </w:r>
          </w:p>
        </w:tc>
        <w:tc>
          <w:tcPr>
            <w:tcW w:w="601" w:type="dxa"/>
            <w:noWrap w:val="0"/>
            <w:vAlign w:val="center"/>
          </w:tcPr>
          <w:p w14:paraId="7EE563D7">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6分</w:t>
            </w:r>
          </w:p>
        </w:tc>
        <w:tc>
          <w:tcPr>
            <w:tcW w:w="1100" w:type="dxa"/>
            <w:noWrap w:val="0"/>
            <w:vAlign w:val="top"/>
          </w:tcPr>
          <w:p w14:paraId="7B8CF54B">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5C27A08E">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117CB9E4">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6B424564">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10F79E1B">
            <w:pPr>
              <w:kinsoku w:val="0"/>
              <w:overflowPunct w:val="0"/>
              <w:autoSpaceDE w:val="0"/>
              <w:autoSpaceDN w:val="0"/>
              <w:snapToGrid w:val="0"/>
              <w:spacing w:line="360" w:lineRule="exact"/>
              <w:rPr>
                <w:rFonts w:hint="eastAsia" w:ascii="宋体" w:hAnsi="宋体" w:cs="宋体"/>
                <w:sz w:val="22"/>
                <w:highlight w:val="none"/>
              </w:rPr>
            </w:pPr>
          </w:p>
        </w:tc>
      </w:tr>
      <w:tr w14:paraId="71CD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noWrap w:val="0"/>
            <w:vAlign w:val="center"/>
          </w:tcPr>
          <w:p w14:paraId="7AB855C1">
            <w:pPr>
              <w:kinsoku w:val="0"/>
              <w:overflowPunct w:val="0"/>
              <w:autoSpaceDE w:val="0"/>
              <w:autoSpaceDN w:val="0"/>
              <w:snapToGrid w:val="0"/>
              <w:spacing w:line="360" w:lineRule="exact"/>
              <w:jc w:val="center"/>
              <w:rPr>
                <w:rFonts w:hint="eastAsia" w:ascii="宋体" w:hAnsi="宋体" w:cs="宋体"/>
                <w:sz w:val="22"/>
                <w:highlight w:val="none"/>
              </w:rPr>
            </w:pPr>
          </w:p>
        </w:tc>
        <w:tc>
          <w:tcPr>
            <w:tcW w:w="2355" w:type="dxa"/>
            <w:noWrap w:val="0"/>
            <w:vAlign w:val="center"/>
          </w:tcPr>
          <w:p w14:paraId="44175517">
            <w:pPr>
              <w:kinsoku w:val="0"/>
              <w:overflowPunct w:val="0"/>
              <w:autoSpaceDE w:val="0"/>
              <w:autoSpaceDN w:val="0"/>
              <w:snapToGrid w:val="0"/>
              <w:spacing w:line="360" w:lineRule="exact"/>
              <w:rPr>
                <w:rFonts w:hint="eastAsia" w:ascii="宋体" w:hAnsi="宋体" w:cs="宋体"/>
                <w:sz w:val="22"/>
                <w:highlight w:val="none"/>
              </w:rPr>
            </w:pPr>
            <w:r>
              <w:rPr>
                <w:rFonts w:hint="eastAsia" w:ascii="宋体" w:hAnsi="宋体" w:cs="宋体"/>
                <w:sz w:val="22"/>
                <w:highlight w:val="none"/>
              </w:rPr>
              <w:t>用户反映</w:t>
            </w:r>
          </w:p>
        </w:tc>
        <w:tc>
          <w:tcPr>
            <w:tcW w:w="601" w:type="dxa"/>
            <w:noWrap w:val="0"/>
            <w:vAlign w:val="center"/>
          </w:tcPr>
          <w:p w14:paraId="5D6B41C8">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8分</w:t>
            </w:r>
          </w:p>
        </w:tc>
        <w:tc>
          <w:tcPr>
            <w:tcW w:w="1100" w:type="dxa"/>
            <w:noWrap w:val="0"/>
            <w:vAlign w:val="top"/>
          </w:tcPr>
          <w:p w14:paraId="2A2EA0A8">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617CBDCE">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102ABED7">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34170FB4">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5B5BE81C">
            <w:pPr>
              <w:kinsoku w:val="0"/>
              <w:overflowPunct w:val="0"/>
              <w:autoSpaceDE w:val="0"/>
              <w:autoSpaceDN w:val="0"/>
              <w:snapToGrid w:val="0"/>
              <w:spacing w:line="360" w:lineRule="exact"/>
              <w:rPr>
                <w:rFonts w:hint="eastAsia" w:ascii="宋体" w:hAnsi="宋体" w:cs="宋体"/>
                <w:sz w:val="22"/>
                <w:highlight w:val="none"/>
              </w:rPr>
            </w:pPr>
          </w:p>
        </w:tc>
      </w:tr>
      <w:tr w14:paraId="51CC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gridSpan w:val="2"/>
            <w:noWrap w:val="0"/>
            <w:vAlign w:val="center"/>
          </w:tcPr>
          <w:p w14:paraId="033ED82C">
            <w:pPr>
              <w:kinsoku w:val="0"/>
              <w:overflowPunct w:val="0"/>
              <w:autoSpaceDE w:val="0"/>
              <w:autoSpaceDN w:val="0"/>
              <w:snapToGrid w:val="0"/>
              <w:spacing w:line="360" w:lineRule="exact"/>
              <w:jc w:val="center"/>
              <w:rPr>
                <w:rFonts w:hint="eastAsia" w:ascii="宋体" w:hAnsi="宋体" w:cs="宋体"/>
                <w:sz w:val="22"/>
                <w:highlight w:val="none"/>
              </w:rPr>
            </w:pPr>
            <w:r>
              <w:rPr>
                <w:rFonts w:hint="eastAsia" w:ascii="宋体" w:hAnsi="宋体" w:cs="宋体"/>
                <w:sz w:val="22"/>
                <w:highlight w:val="none"/>
              </w:rPr>
              <w:t>综合得分</w:t>
            </w:r>
          </w:p>
        </w:tc>
        <w:tc>
          <w:tcPr>
            <w:tcW w:w="601" w:type="dxa"/>
            <w:noWrap w:val="0"/>
            <w:vAlign w:val="center"/>
          </w:tcPr>
          <w:p w14:paraId="4E6827E8">
            <w:pPr>
              <w:kinsoku w:val="0"/>
              <w:overflowPunct w:val="0"/>
              <w:autoSpaceDE w:val="0"/>
              <w:autoSpaceDN w:val="0"/>
              <w:snapToGrid w:val="0"/>
              <w:spacing w:line="360" w:lineRule="exact"/>
              <w:jc w:val="center"/>
              <w:rPr>
                <w:rFonts w:hint="eastAsia" w:ascii="宋体" w:hAnsi="宋体" w:cs="宋体"/>
                <w:sz w:val="22"/>
                <w:highlight w:val="none"/>
              </w:rPr>
            </w:pPr>
          </w:p>
        </w:tc>
        <w:tc>
          <w:tcPr>
            <w:tcW w:w="1100" w:type="dxa"/>
            <w:noWrap w:val="0"/>
            <w:vAlign w:val="top"/>
          </w:tcPr>
          <w:p w14:paraId="0EC34A67">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37EF93C7">
            <w:pPr>
              <w:kinsoku w:val="0"/>
              <w:overflowPunct w:val="0"/>
              <w:autoSpaceDE w:val="0"/>
              <w:autoSpaceDN w:val="0"/>
              <w:snapToGrid w:val="0"/>
              <w:spacing w:line="360" w:lineRule="exact"/>
              <w:rPr>
                <w:rFonts w:hint="eastAsia" w:ascii="宋体" w:hAnsi="宋体" w:cs="宋体"/>
                <w:sz w:val="22"/>
                <w:highlight w:val="none"/>
              </w:rPr>
            </w:pPr>
          </w:p>
        </w:tc>
        <w:tc>
          <w:tcPr>
            <w:tcW w:w="1200" w:type="dxa"/>
            <w:noWrap w:val="0"/>
            <w:vAlign w:val="top"/>
          </w:tcPr>
          <w:p w14:paraId="27A67E65">
            <w:pPr>
              <w:kinsoku w:val="0"/>
              <w:overflowPunct w:val="0"/>
              <w:autoSpaceDE w:val="0"/>
              <w:autoSpaceDN w:val="0"/>
              <w:snapToGrid w:val="0"/>
              <w:spacing w:line="360" w:lineRule="exact"/>
              <w:rPr>
                <w:rFonts w:hint="eastAsia" w:ascii="宋体" w:hAnsi="宋体" w:cs="宋体"/>
                <w:sz w:val="22"/>
                <w:highlight w:val="none"/>
              </w:rPr>
            </w:pPr>
          </w:p>
        </w:tc>
        <w:tc>
          <w:tcPr>
            <w:tcW w:w="1183" w:type="dxa"/>
            <w:noWrap w:val="0"/>
            <w:vAlign w:val="top"/>
          </w:tcPr>
          <w:p w14:paraId="5B486F8B">
            <w:pPr>
              <w:kinsoku w:val="0"/>
              <w:overflowPunct w:val="0"/>
              <w:autoSpaceDE w:val="0"/>
              <w:autoSpaceDN w:val="0"/>
              <w:snapToGrid w:val="0"/>
              <w:spacing w:line="360" w:lineRule="exact"/>
              <w:rPr>
                <w:rFonts w:hint="eastAsia" w:ascii="宋体" w:hAnsi="宋体" w:cs="宋体"/>
                <w:sz w:val="22"/>
                <w:highlight w:val="none"/>
              </w:rPr>
            </w:pPr>
          </w:p>
        </w:tc>
        <w:tc>
          <w:tcPr>
            <w:tcW w:w="1063" w:type="dxa"/>
            <w:noWrap w:val="0"/>
            <w:vAlign w:val="top"/>
          </w:tcPr>
          <w:p w14:paraId="05FF49B2">
            <w:pPr>
              <w:kinsoku w:val="0"/>
              <w:overflowPunct w:val="0"/>
              <w:autoSpaceDE w:val="0"/>
              <w:autoSpaceDN w:val="0"/>
              <w:snapToGrid w:val="0"/>
              <w:spacing w:line="360" w:lineRule="exact"/>
              <w:rPr>
                <w:rFonts w:hint="eastAsia" w:ascii="宋体" w:hAnsi="宋体" w:cs="宋体"/>
                <w:sz w:val="22"/>
                <w:highlight w:val="none"/>
              </w:rPr>
            </w:pPr>
          </w:p>
        </w:tc>
      </w:tr>
    </w:tbl>
    <w:p w14:paraId="71091DCA">
      <w:pPr>
        <w:spacing w:line="360" w:lineRule="exact"/>
        <w:rPr>
          <w:rFonts w:hint="eastAsia" w:ascii="宋体" w:hAnsi="宋体" w:cs="宋体"/>
          <w:sz w:val="22"/>
          <w:highlight w:val="none"/>
        </w:rPr>
      </w:pPr>
      <w:r>
        <w:rPr>
          <w:rFonts w:hint="eastAsia" w:ascii="宋体" w:hAnsi="宋体" w:cs="宋体"/>
          <w:sz w:val="22"/>
          <w:highlight w:val="none"/>
        </w:rPr>
        <w:t>1、考察总分达70分以上视为合格，90分以上视为优秀；</w:t>
      </w:r>
      <w:r>
        <w:rPr>
          <w:rFonts w:hint="eastAsia" w:ascii="宋体" w:hAnsi="宋体" w:cs="宋体"/>
          <w:sz w:val="22"/>
          <w:highlight w:val="none"/>
        </w:rPr>
        <w:br w:type="textWrapping"/>
      </w:r>
      <w:r>
        <w:rPr>
          <w:rFonts w:hint="eastAsia" w:ascii="宋体" w:hAnsi="宋体" w:cs="宋体"/>
          <w:sz w:val="22"/>
          <w:highlight w:val="none"/>
        </w:rPr>
        <w:t>2、如以上部分内容无法进行考察的，可以按实际完成的考察内容进行换算得分，但实际考察内</w:t>
      </w:r>
      <w:r>
        <w:rPr>
          <w:rFonts w:hint="eastAsia" w:ascii="宋体" w:hAnsi="宋体" w:cs="宋体"/>
          <w:sz w:val="22"/>
          <w:highlight w:val="none"/>
        </w:rPr>
        <w:br w:type="textWrapping"/>
      </w:r>
      <w:r>
        <w:rPr>
          <w:rFonts w:hint="eastAsia" w:ascii="宋体" w:hAnsi="宋体" w:cs="宋体"/>
          <w:sz w:val="22"/>
          <w:highlight w:val="none"/>
        </w:rPr>
        <w:t xml:space="preserve">容权重必须超过全部要求考察内容的70％。                                                                                                                                                                                                                                                                                                </w:t>
      </w:r>
    </w:p>
    <w:p w14:paraId="37BFCE1D">
      <w:pPr>
        <w:spacing w:line="460" w:lineRule="exact"/>
        <w:rPr>
          <w:rFonts w:hint="eastAsia" w:ascii="宋体" w:hAnsi="宋体" w:cs="宋体"/>
          <w:sz w:val="22"/>
          <w:highlight w:val="none"/>
        </w:rPr>
      </w:pPr>
      <w:r>
        <w:rPr>
          <w:rFonts w:hint="eastAsia" w:ascii="宋体" w:hAnsi="宋体" w:cs="宋体"/>
          <w:sz w:val="22"/>
          <w:highlight w:val="none"/>
        </w:rPr>
        <w:t>3、考察总分未达70分的，禁止进场，待整改达标后进场施工。</w:t>
      </w:r>
    </w:p>
    <w:p w14:paraId="3FA61BAF">
      <w:pPr>
        <w:pStyle w:val="6"/>
        <w:ind w:left="0" w:leftChars="0" w:firstLine="0" w:firstLineChars="0"/>
        <w:rPr>
          <w:rFonts w:hint="eastAsia" w:ascii="宋体" w:hAnsi="宋体" w:cs="宋体"/>
          <w:sz w:val="28"/>
          <w:szCs w:val="28"/>
          <w:highlight w:val="none"/>
        </w:rPr>
      </w:pPr>
      <w:r>
        <w:rPr>
          <w:rFonts w:hint="eastAsia" w:ascii="宋体" w:hAnsi="宋体" w:cs="宋体"/>
          <w:sz w:val="28"/>
          <w:szCs w:val="28"/>
          <w:highlight w:val="none"/>
        </w:rPr>
        <w:br w:type="page"/>
      </w:r>
      <w:r>
        <w:rPr>
          <w:rFonts w:hint="eastAsia" w:ascii="宋体" w:hAnsi="宋体" w:cs="宋体"/>
          <w:sz w:val="28"/>
          <w:szCs w:val="28"/>
          <w:highlight w:val="none"/>
        </w:rPr>
        <w:t xml:space="preserve">附件4 </w:t>
      </w:r>
    </w:p>
    <w:p w14:paraId="49E36BFB">
      <w:pPr>
        <w:spacing w:line="460" w:lineRule="exact"/>
        <w:jc w:val="center"/>
        <w:rPr>
          <w:rFonts w:hint="eastAsia" w:ascii="宋体" w:hAnsi="宋体" w:cs="宋体"/>
          <w:b/>
          <w:sz w:val="28"/>
          <w:szCs w:val="24"/>
          <w:highlight w:val="none"/>
        </w:rPr>
      </w:pPr>
      <w:r>
        <w:rPr>
          <w:rFonts w:hint="eastAsia" w:ascii="宋体" w:hAnsi="宋体" w:cs="宋体"/>
          <w:b/>
          <w:sz w:val="28"/>
          <w:szCs w:val="24"/>
          <w:highlight w:val="none"/>
        </w:rPr>
        <w:t>监理单位监理阶段考核表</w:t>
      </w:r>
    </w:p>
    <w:p w14:paraId="04723EF3">
      <w:pPr>
        <w:pStyle w:val="6"/>
        <w:ind w:firstLine="560"/>
        <w:rPr>
          <w:rFonts w:hint="eastAsia" w:ascii="宋体" w:hAnsi="宋体" w:cs="宋体"/>
          <w:sz w:val="28"/>
          <w:szCs w:val="28"/>
          <w:highlight w:val="non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643"/>
        <w:gridCol w:w="543"/>
        <w:gridCol w:w="586"/>
        <w:gridCol w:w="1193"/>
        <w:gridCol w:w="2322"/>
        <w:gridCol w:w="650"/>
        <w:gridCol w:w="582"/>
        <w:gridCol w:w="1090"/>
      </w:tblGrid>
      <w:tr w14:paraId="2A0D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gridSpan w:val="2"/>
            <w:noWrap w:val="0"/>
            <w:vAlign w:val="top"/>
          </w:tcPr>
          <w:p w14:paraId="4753D542">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监理单位名称</w:t>
            </w:r>
          </w:p>
        </w:tc>
        <w:tc>
          <w:tcPr>
            <w:tcW w:w="2322" w:type="dxa"/>
            <w:gridSpan w:val="3"/>
            <w:noWrap w:val="0"/>
            <w:vAlign w:val="top"/>
          </w:tcPr>
          <w:p w14:paraId="2CA7B5C8">
            <w:pPr>
              <w:spacing w:line="300" w:lineRule="exact"/>
              <w:jc w:val="center"/>
              <w:rPr>
                <w:rFonts w:hint="eastAsia" w:ascii="宋体" w:hAnsi="宋体" w:cs="宋体"/>
                <w:b/>
                <w:bCs/>
                <w:sz w:val="28"/>
                <w:szCs w:val="24"/>
                <w:highlight w:val="none"/>
              </w:rPr>
            </w:pPr>
          </w:p>
        </w:tc>
        <w:tc>
          <w:tcPr>
            <w:tcW w:w="2322" w:type="dxa"/>
            <w:noWrap w:val="0"/>
            <w:vAlign w:val="top"/>
          </w:tcPr>
          <w:p w14:paraId="02F2E230">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322" w:type="dxa"/>
            <w:gridSpan w:val="3"/>
            <w:noWrap w:val="0"/>
            <w:vAlign w:val="top"/>
          </w:tcPr>
          <w:p w14:paraId="0ADA15E2">
            <w:pPr>
              <w:spacing w:line="300" w:lineRule="exact"/>
              <w:jc w:val="center"/>
              <w:rPr>
                <w:rFonts w:hint="eastAsia" w:ascii="宋体" w:hAnsi="宋体" w:cs="宋体"/>
                <w:b/>
                <w:bCs/>
                <w:sz w:val="28"/>
                <w:szCs w:val="24"/>
                <w:highlight w:val="none"/>
              </w:rPr>
            </w:pPr>
          </w:p>
        </w:tc>
      </w:tr>
      <w:tr w14:paraId="5565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1" w:type="dxa"/>
            <w:gridSpan w:val="4"/>
            <w:noWrap w:val="0"/>
            <w:vAlign w:val="top"/>
          </w:tcPr>
          <w:p w14:paraId="7E06B25C">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考核部门</w:t>
            </w:r>
          </w:p>
        </w:tc>
        <w:tc>
          <w:tcPr>
            <w:tcW w:w="5837" w:type="dxa"/>
            <w:gridSpan w:val="5"/>
            <w:noWrap w:val="0"/>
            <w:vAlign w:val="center"/>
          </w:tcPr>
          <w:p w14:paraId="7FD3B1E5">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工程管理部（20分）</w:t>
            </w:r>
          </w:p>
        </w:tc>
      </w:tr>
      <w:tr w14:paraId="31CC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top"/>
          </w:tcPr>
          <w:p w14:paraId="2E4DF80A">
            <w:pPr>
              <w:spacing w:line="300" w:lineRule="exact"/>
              <w:rPr>
                <w:rFonts w:hint="eastAsia" w:ascii="宋体" w:hAnsi="宋体" w:cs="宋体"/>
                <w:sz w:val="28"/>
                <w:szCs w:val="24"/>
                <w:highlight w:val="none"/>
              </w:rPr>
            </w:pPr>
            <w:r>
              <w:rPr>
                <w:rFonts w:hint="eastAsia" w:ascii="宋体" w:hAnsi="宋体" w:cs="宋体"/>
                <w:sz w:val="28"/>
                <w:szCs w:val="24"/>
                <w:highlight w:val="none"/>
              </w:rPr>
              <w:t>考核项目</w:t>
            </w:r>
          </w:p>
        </w:tc>
        <w:tc>
          <w:tcPr>
            <w:tcW w:w="2186" w:type="dxa"/>
            <w:gridSpan w:val="2"/>
            <w:noWrap w:val="0"/>
            <w:vAlign w:val="center"/>
          </w:tcPr>
          <w:p w14:paraId="468AA5C5">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考核内容</w:t>
            </w:r>
          </w:p>
        </w:tc>
        <w:tc>
          <w:tcPr>
            <w:tcW w:w="586" w:type="dxa"/>
            <w:noWrap w:val="0"/>
            <w:vAlign w:val="center"/>
          </w:tcPr>
          <w:p w14:paraId="59B9E739">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分值</w:t>
            </w:r>
          </w:p>
        </w:tc>
        <w:tc>
          <w:tcPr>
            <w:tcW w:w="4165" w:type="dxa"/>
            <w:gridSpan w:val="3"/>
            <w:noWrap w:val="0"/>
            <w:vAlign w:val="center"/>
          </w:tcPr>
          <w:p w14:paraId="134D1177">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评分标准</w:t>
            </w:r>
          </w:p>
        </w:tc>
        <w:tc>
          <w:tcPr>
            <w:tcW w:w="582" w:type="dxa"/>
            <w:noWrap w:val="0"/>
            <w:vAlign w:val="center"/>
          </w:tcPr>
          <w:p w14:paraId="7AC52F31">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得分</w:t>
            </w:r>
          </w:p>
        </w:tc>
        <w:tc>
          <w:tcPr>
            <w:tcW w:w="1090" w:type="dxa"/>
            <w:noWrap w:val="0"/>
            <w:vAlign w:val="center"/>
          </w:tcPr>
          <w:p w14:paraId="0EBB707F">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扣分原因</w:t>
            </w:r>
          </w:p>
        </w:tc>
      </w:tr>
      <w:tr w14:paraId="1B21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679" w:type="dxa"/>
            <w:vMerge w:val="restart"/>
            <w:noWrap w:val="0"/>
            <w:vAlign w:val="center"/>
          </w:tcPr>
          <w:p w14:paraId="792E3174">
            <w:pPr>
              <w:spacing w:line="300" w:lineRule="exact"/>
              <w:rPr>
                <w:rFonts w:hint="eastAsia" w:ascii="宋体" w:hAnsi="宋体" w:cs="宋体"/>
                <w:sz w:val="28"/>
                <w:szCs w:val="24"/>
                <w:highlight w:val="none"/>
              </w:rPr>
            </w:pPr>
            <w:r>
              <w:rPr>
                <w:rFonts w:hint="eastAsia" w:ascii="宋体" w:hAnsi="宋体" w:cs="宋体"/>
                <w:sz w:val="28"/>
                <w:szCs w:val="24"/>
                <w:highlight w:val="none"/>
              </w:rPr>
              <w:t>项目监理机构和人员</w:t>
            </w:r>
          </w:p>
        </w:tc>
        <w:tc>
          <w:tcPr>
            <w:tcW w:w="2186" w:type="dxa"/>
            <w:gridSpan w:val="2"/>
            <w:noWrap w:val="0"/>
            <w:vAlign w:val="center"/>
          </w:tcPr>
          <w:p w14:paraId="09A8C5E2">
            <w:pPr>
              <w:spacing w:line="300" w:lineRule="exact"/>
              <w:rPr>
                <w:rFonts w:hint="eastAsia" w:ascii="宋体" w:hAnsi="宋体" w:cs="宋体"/>
                <w:sz w:val="28"/>
                <w:szCs w:val="24"/>
                <w:highlight w:val="none"/>
              </w:rPr>
            </w:pPr>
            <w:r>
              <w:rPr>
                <w:rFonts w:hint="eastAsia" w:ascii="宋体" w:hAnsi="宋体" w:cs="宋体"/>
                <w:sz w:val="28"/>
                <w:szCs w:val="24"/>
                <w:highlight w:val="none"/>
              </w:rPr>
              <w:t>项目监理机构及人员配备与投标文件一致。</w:t>
            </w:r>
          </w:p>
        </w:tc>
        <w:tc>
          <w:tcPr>
            <w:tcW w:w="586" w:type="dxa"/>
            <w:noWrap w:val="0"/>
            <w:vAlign w:val="center"/>
          </w:tcPr>
          <w:p w14:paraId="73CF8146">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5</w:t>
            </w:r>
          </w:p>
        </w:tc>
        <w:tc>
          <w:tcPr>
            <w:tcW w:w="4165" w:type="dxa"/>
            <w:gridSpan w:val="3"/>
            <w:noWrap w:val="0"/>
            <w:vAlign w:val="center"/>
          </w:tcPr>
          <w:p w14:paraId="54741909">
            <w:pPr>
              <w:spacing w:line="300" w:lineRule="exact"/>
              <w:rPr>
                <w:rFonts w:hint="eastAsia" w:ascii="宋体" w:hAnsi="宋体" w:cs="宋体"/>
                <w:sz w:val="28"/>
                <w:szCs w:val="24"/>
                <w:highlight w:val="none"/>
              </w:rPr>
            </w:pPr>
            <w:r>
              <w:rPr>
                <w:rFonts w:hint="eastAsia" w:ascii="宋体" w:hAnsi="宋体" w:cs="宋体"/>
                <w:sz w:val="28"/>
                <w:szCs w:val="24"/>
                <w:highlight w:val="none"/>
              </w:rPr>
              <w:t>项目监理机构的设立及人员配备与投标文件及合同不否，扣5分。</w:t>
            </w:r>
          </w:p>
        </w:tc>
        <w:tc>
          <w:tcPr>
            <w:tcW w:w="582" w:type="dxa"/>
            <w:noWrap w:val="0"/>
            <w:vAlign w:val="center"/>
          </w:tcPr>
          <w:p w14:paraId="601F7130">
            <w:pPr>
              <w:spacing w:line="300" w:lineRule="exact"/>
              <w:jc w:val="center"/>
              <w:rPr>
                <w:rFonts w:hint="eastAsia" w:ascii="宋体" w:hAnsi="宋体" w:cs="宋体"/>
                <w:sz w:val="28"/>
                <w:szCs w:val="24"/>
                <w:highlight w:val="none"/>
              </w:rPr>
            </w:pPr>
          </w:p>
        </w:tc>
        <w:tc>
          <w:tcPr>
            <w:tcW w:w="1090" w:type="dxa"/>
            <w:noWrap w:val="0"/>
            <w:vAlign w:val="center"/>
          </w:tcPr>
          <w:p w14:paraId="403DD79D">
            <w:pPr>
              <w:spacing w:line="300" w:lineRule="exact"/>
              <w:jc w:val="center"/>
              <w:rPr>
                <w:rFonts w:hint="eastAsia" w:ascii="宋体" w:hAnsi="宋体" w:cs="宋体"/>
                <w:sz w:val="28"/>
                <w:szCs w:val="24"/>
                <w:highlight w:val="none"/>
              </w:rPr>
            </w:pPr>
          </w:p>
        </w:tc>
      </w:tr>
      <w:tr w14:paraId="4BBF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679" w:type="dxa"/>
            <w:vMerge w:val="continue"/>
            <w:noWrap w:val="0"/>
            <w:vAlign w:val="center"/>
          </w:tcPr>
          <w:p w14:paraId="25B8DE0E">
            <w:pPr>
              <w:spacing w:line="300" w:lineRule="exact"/>
              <w:jc w:val="center"/>
              <w:rPr>
                <w:rFonts w:hint="eastAsia" w:ascii="宋体" w:hAnsi="宋体" w:cs="宋体"/>
                <w:sz w:val="28"/>
                <w:szCs w:val="24"/>
                <w:highlight w:val="none"/>
              </w:rPr>
            </w:pPr>
          </w:p>
        </w:tc>
        <w:tc>
          <w:tcPr>
            <w:tcW w:w="2186" w:type="dxa"/>
            <w:gridSpan w:val="2"/>
            <w:noWrap w:val="0"/>
            <w:vAlign w:val="center"/>
          </w:tcPr>
          <w:p w14:paraId="5A0CAE42">
            <w:pPr>
              <w:spacing w:line="300" w:lineRule="exact"/>
              <w:rPr>
                <w:rFonts w:hint="eastAsia" w:ascii="宋体" w:hAnsi="宋体" w:cs="宋体"/>
                <w:sz w:val="28"/>
                <w:szCs w:val="24"/>
                <w:highlight w:val="none"/>
              </w:rPr>
            </w:pPr>
            <w:r>
              <w:rPr>
                <w:rFonts w:hint="eastAsia" w:ascii="宋体" w:hAnsi="宋体" w:cs="宋体"/>
                <w:sz w:val="28"/>
                <w:szCs w:val="24"/>
                <w:highlight w:val="none"/>
              </w:rPr>
              <w:t>监理人员</w:t>
            </w:r>
          </w:p>
        </w:tc>
        <w:tc>
          <w:tcPr>
            <w:tcW w:w="586" w:type="dxa"/>
            <w:noWrap w:val="0"/>
            <w:vAlign w:val="center"/>
          </w:tcPr>
          <w:p w14:paraId="02E6060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5</w:t>
            </w:r>
          </w:p>
        </w:tc>
        <w:tc>
          <w:tcPr>
            <w:tcW w:w="4165" w:type="dxa"/>
            <w:gridSpan w:val="3"/>
            <w:noWrap w:val="0"/>
            <w:vAlign w:val="center"/>
          </w:tcPr>
          <w:p w14:paraId="6B15155D">
            <w:pPr>
              <w:spacing w:line="300" w:lineRule="exact"/>
              <w:rPr>
                <w:rFonts w:hint="eastAsia" w:ascii="宋体" w:hAnsi="宋体" w:cs="宋体"/>
                <w:sz w:val="28"/>
                <w:szCs w:val="24"/>
                <w:highlight w:val="none"/>
              </w:rPr>
            </w:pPr>
            <w:r>
              <w:rPr>
                <w:rFonts w:hint="eastAsia" w:ascii="宋体" w:hAnsi="宋体" w:cs="宋体"/>
                <w:sz w:val="28"/>
                <w:szCs w:val="24"/>
                <w:highlight w:val="none"/>
              </w:rPr>
              <w:t>1.到场总监理工程师与合同不否，本项考核为零分。</w:t>
            </w:r>
            <w:r>
              <w:rPr>
                <w:rFonts w:hint="eastAsia" w:ascii="宋体" w:hAnsi="宋体" w:cs="宋体"/>
                <w:sz w:val="28"/>
                <w:szCs w:val="24"/>
                <w:highlight w:val="none"/>
              </w:rPr>
              <w:br w:type="textWrapping"/>
            </w:r>
            <w:r>
              <w:rPr>
                <w:rFonts w:hint="eastAsia" w:ascii="宋体" w:hAnsi="宋体" w:cs="宋体"/>
                <w:sz w:val="28"/>
                <w:szCs w:val="24"/>
                <w:highlight w:val="none"/>
              </w:rPr>
              <w:t>2.总监理工程师、总监代表及主要监理工程师未征得委托人同意随意更换，本项考核为零分。</w:t>
            </w:r>
          </w:p>
        </w:tc>
        <w:tc>
          <w:tcPr>
            <w:tcW w:w="582" w:type="dxa"/>
            <w:noWrap w:val="0"/>
            <w:vAlign w:val="center"/>
          </w:tcPr>
          <w:p w14:paraId="160E4846">
            <w:pPr>
              <w:spacing w:line="300" w:lineRule="exact"/>
              <w:jc w:val="center"/>
              <w:rPr>
                <w:rFonts w:hint="eastAsia" w:ascii="宋体" w:hAnsi="宋体" w:cs="宋体"/>
                <w:sz w:val="28"/>
                <w:szCs w:val="24"/>
                <w:highlight w:val="none"/>
              </w:rPr>
            </w:pPr>
          </w:p>
        </w:tc>
        <w:tc>
          <w:tcPr>
            <w:tcW w:w="1090" w:type="dxa"/>
            <w:noWrap w:val="0"/>
            <w:vAlign w:val="center"/>
          </w:tcPr>
          <w:p w14:paraId="45EA05D2">
            <w:pPr>
              <w:spacing w:line="300" w:lineRule="exact"/>
              <w:jc w:val="center"/>
              <w:rPr>
                <w:rFonts w:hint="eastAsia" w:ascii="宋体" w:hAnsi="宋体" w:cs="宋体"/>
                <w:sz w:val="28"/>
                <w:szCs w:val="24"/>
                <w:highlight w:val="none"/>
              </w:rPr>
            </w:pPr>
          </w:p>
        </w:tc>
      </w:tr>
      <w:tr w14:paraId="044A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679" w:type="dxa"/>
            <w:vMerge w:val="restart"/>
            <w:noWrap w:val="0"/>
            <w:vAlign w:val="center"/>
          </w:tcPr>
          <w:p w14:paraId="16B905F6">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监理资料</w:t>
            </w:r>
          </w:p>
        </w:tc>
        <w:tc>
          <w:tcPr>
            <w:tcW w:w="2186" w:type="dxa"/>
            <w:gridSpan w:val="2"/>
            <w:noWrap w:val="0"/>
            <w:vAlign w:val="center"/>
          </w:tcPr>
          <w:p w14:paraId="7C0BF388">
            <w:pPr>
              <w:spacing w:line="300" w:lineRule="exact"/>
              <w:rPr>
                <w:rFonts w:hint="eastAsia" w:ascii="宋体" w:hAnsi="宋体" w:cs="宋体"/>
                <w:sz w:val="28"/>
                <w:szCs w:val="24"/>
                <w:highlight w:val="none"/>
              </w:rPr>
            </w:pPr>
            <w:r>
              <w:rPr>
                <w:rFonts w:hint="eastAsia" w:ascii="宋体" w:hAnsi="宋体" w:cs="宋体"/>
                <w:sz w:val="28"/>
                <w:szCs w:val="24"/>
                <w:highlight w:val="none"/>
              </w:rPr>
              <w:t>施工准备阶段</w:t>
            </w:r>
          </w:p>
        </w:tc>
        <w:tc>
          <w:tcPr>
            <w:tcW w:w="586" w:type="dxa"/>
            <w:noWrap w:val="0"/>
            <w:vAlign w:val="center"/>
          </w:tcPr>
          <w:p w14:paraId="6FE3A87C">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4</w:t>
            </w:r>
          </w:p>
        </w:tc>
        <w:tc>
          <w:tcPr>
            <w:tcW w:w="4165" w:type="dxa"/>
            <w:gridSpan w:val="3"/>
            <w:noWrap w:val="0"/>
            <w:vAlign w:val="center"/>
          </w:tcPr>
          <w:p w14:paraId="2573D4B0">
            <w:pPr>
              <w:spacing w:line="300" w:lineRule="exact"/>
              <w:rPr>
                <w:rFonts w:hint="eastAsia" w:ascii="宋体" w:hAnsi="宋体" w:cs="宋体"/>
                <w:sz w:val="28"/>
                <w:szCs w:val="24"/>
                <w:highlight w:val="none"/>
              </w:rPr>
            </w:pPr>
            <w:r>
              <w:rPr>
                <w:rFonts w:hint="eastAsia" w:ascii="宋体" w:hAnsi="宋体" w:cs="宋体"/>
                <w:sz w:val="28"/>
                <w:szCs w:val="24"/>
                <w:highlight w:val="none"/>
              </w:rPr>
              <w:t>1.监理规划，合同签订后7日内未提交，扣2分。</w:t>
            </w:r>
            <w:r>
              <w:rPr>
                <w:rFonts w:hint="eastAsia" w:ascii="宋体" w:hAnsi="宋体" w:cs="宋体"/>
                <w:sz w:val="28"/>
                <w:szCs w:val="24"/>
                <w:highlight w:val="none"/>
              </w:rPr>
              <w:br w:type="textWrapping"/>
            </w:r>
            <w:r>
              <w:rPr>
                <w:rFonts w:hint="eastAsia" w:ascii="宋体" w:hAnsi="宋体" w:cs="宋体"/>
                <w:sz w:val="28"/>
                <w:szCs w:val="24"/>
                <w:highlight w:val="none"/>
              </w:rPr>
              <w:t xml:space="preserve">2.无监理实施细则，扣2分。   </w:t>
            </w:r>
          </w:p>
        </w:tc>
        <w:tc>
          <w:tcPr>
            <w:tcW w:w="582" w:type="dxa"/>
            <w:noWrap w:val="0"/>
            <w:vAlign w:val="center"/>
          </w:tcPr>
          <w:p w14:paraId="63F33538">
            <w:pPr>
              <w:spacing w:line="300" w:lineRule="exact"/>
              <w:jc w:val="center"/>
              <w:rPr>
                <w:rFonts w:hint="eastAsia" w:ascii="宋体" w:hAnsi="宋体" w:cs="宋体"/>
                <w:sz w:val="28"/>
                <w:szCs w:val="24"/>
                <w:highlight w:val="none"/>
              </w:rPr>
            </w:pPr>
          </w:p>
        </w:tc>
        <w:tc>
          <w:tcPr>
            <w:tcW w:w="1090" w:type="dxa"/>
            <w:noWrap w:val="0"/>
            <w:vAlign w:val="center"/>
          </w:tcPr>
          <w:p w14:paraId="5967A5E4">
            <w:pPr>
              <w:spacing w:line="300" w:lineRule="exact"/>
              <w:jc w:val="center"/>
              <w:rPr>
                <w:rFonts w:hint="eastAsia" w:ascii="宋体" w:hAnsi="宋体" w:cs="宋体"/>
                <w:sz w:val="28"/>
                <w:szCs w:val="24"/>
                <w:highlight w:val="none"/>
              </w:rPr>
            </w:pPr>
          </w:p>
        </w:tc>
      </w:tr>
      <w:tr w14:paraId="1CED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679" w:type="dxa"/>
            <w:vMerge w:val="continue"/>
            <w:noWrap w:val="0"/>
            <w:vAlign w:val="top"/>
          </w:tcPr>
          <w:p w14:paraId="17506D40">
            <w:pPr>
              <w:spacing w:line="300" w:lineRule="exact"/>
              <w:rPr>
                <w:rFonts w:hint="eastAsia" w:ascii="宋体" w:hAnsi="宋体" w:cs="宋体"/>
                <w:sz w:val="28"/>
                <w:szCs w:val="24"/>
                <w:highlight w:val="none"/>
              </w:rPr>
            </w:pPr>
          </w:p>
        </w:tc>
        <w:tc>
          <w:tcPr>
            <w:tcW w:w="2186" w:type="dxa"/>
            <w:gridSpan w:val="2"/>
            <w:noWrap w:val="0"/>
            <w:vAlign w:val="center"/>
          </w:tcPr>
          <w:p w14:paraId="4B4094E3">
            <w:pPr>
              <w:spacing w:line="300" w:lineRule="exact"/>
              <w:rPr>
                <w:rFonts w:hint="eastAsia" w:ascii="宋体" w:hAnsi="宋体" w:cs="宋体"/>
                <w:sz w:val="28"/>
                <w:szCs w:val="24"/>
                <w:highlight w:val="none"/>
              </w:rPr>
            </w:pPr>
            <w:r>
              <w:rPr>
                <w:rFonts w:hint="eastAsia" w:ascii="宋体" w:hAnsi="宋体" w:cs="宋体"/>
                <w:sz w:val="28"/>
                <w:szCs w:val="24"/>
                <w:highlight w:val="none"/>
              </w:rPr>
              <w:t>过程管理资料</w:t>
            </w:r>
          </w:p>
        </w:tc>
        <w:tc>
          <w:tcPr>
            <w:tcW w:w="586" w:type="dxa"/>
            <w:noWrap w:val="0"/>
            <w:vAlign w:val="center"/>
          </w:tcPr>
          <w:p w14:paraId="6A0CE1C0">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4</w:t>
            </w:r>
          </w:p>
        </w:tc>
        <w:tc>
          <w:tcPr>
            <w:tcW w:w="4165" w:type="dxa"/>
            <w:gridSpan w:val="3"/>
            <w:noWrap w:val="0"/>
            <w:vAlign w:val="center"/>
          </w:tcPr>
          <w:p w14:paraId="10948A6E">
            <w:pPr>
              <w:spacing w:line="300" w:lineRule="exact"/>
              <w:rPr>
                <w:rFonts w:hint="eastAsia" w:ascii="宋体" w:hAnsi="宋体" w:cs="宋体"/>
                <w:sz w:val="28"/>
                <w:szCs w:val="24"/>
                <w:highlight w:val="none"/>
              </w:rPr>
            </w:pPr>
            <w:r>
              <w:rPr>
                <w:rFonts w:hint="eastAsia" w:ascii="宋体" w:hAnsi="宋体" w:cs="宋体"/>
                <w:sz w:val="28"/>
                <w:szCs w:val="24"/>
                <w:highlight w:val="none"/>
              </w:rPr>
              <w:t>1.监理会议纪要（经参会各方会签）不全，或会议结束后第二个工作日未提交，扣2分。</w:t>
            </w:r>
            <w:r>
              <w:rPr>
                <w:rFonts w:hint="eastAsia" w:ascii="宋体" w:hAnsi="宋体" w:cs="宋体"/>
                <w:sz w:val="28"/>
                <w:szCs w:val="24"/>
                <w:highlight w:val="none"/>
              </w:rPr>
              <w:br w:type="textWrapping"/>
            </w:r>
            <w:r>
              <w:rPr>
                <w:rFonts w:hint="eastAsia" w:ascii="宋体" w:hAnsi="宋体" w:cs="宋体"/>
                <w:sz w:val="28"/>
                <w:szCs w:val="24"/>
                <w:highlight w:val="none"/>
              </w:rPr>
              <w:t>2.旬报、月报、年报，包括进度分析、质量控制，投资分析等报告，以及各类专题报告，年终总结和最终监理报告，不全，扣2分。</w:t>
            </w:r>
          </w:p>
        </w:tc>
        <w:tc>
          <w:tcPr>
            <w:tcW w:w="582" w:type="dxa"/>
            <w:noWrap w:val="0"/>
            <w:vAlign w:val="center"/>
          </w:tcPr>
          <w:p w14:paraId="52A22381">
            <w:pPr>
              <w:spacing w:line="300" w:lineRule="exact"/>
              <w:jc w:val="center"/>
              <w:rPr>
                <w:rFonts w:hint="eastAsia" w:ascii="宋体" w:hAnsi="宋体" w:cs="宋体"/>
                <w:sz w:val="28"/>
                <w:szCs w:val="24"/>
                <w:highlight w:val="none"/>
              </w:rPr>
            </w:pPr>
          </w:p>
        </w:tc>
        <w:tc>
          <w:tcPr>
            <w:tcW w:w="1090" w:type="dxa"/>
            <w:noWrap w:val="0"/>
            <w:vAlign w:val="center"/>
          </w:tcPr>
          <w:p w14:paraId="3AF9CF64">
            <w:pPr>
              <w:spacing w:line="300" w:lineRule="exact"/>
              <w:jc w:val="center"/>
              <w:rPr>
                <w:rFonts w:hint="eastAsia" w:ascii="宋体" w:hAnsi="宋体" w:cs="宋体"/>
                <w:sz w:val="28"/>
                <w:szCs w:val="24"/>
                <w:highlight w:val="none"/>
              </w:rPr>
            </w:pPr>
          </w:p>
        </w:tc>
      </w:tr>
      <w:tr w14:paraId="2025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679" w:type="dxa"/>
            <w:vMerge w:val="continue"/>
            <w:noWrap w:val="0"/>
            <w:vAlign w:val="top"/>
          </w:tcPr>
          <w:p w14:paraId="5FA512C8">
            <w:pPr>
              <w:spacing w:line="300" w:lineRule="exact"/>
              <w:rPr>
                <w:rFonts w:hint="eastAsia" w:ascii="宋体" w:hAnsi="宋体" w:cs="宋体"/>
                <w:sz w:val="28"/>
                <w:szCs w:val="24"/>
                <w:highlight w:val="none"/>
              </w:rPr>
            </w:pPr>
          </w:p>
        </w:tc>
        <w:tc>
          <w:tcPr>
            <w:tcW w:w="2186" w:type="dxa"/>
            <w:gridSpan w:val="2"/>
            <w:noWrap w:val="0"/>
            <w:vAlign w:val="center"/>
          </w:tcPr>
          <w:p w14:paraId="74116256">
            <w:pPr>
              <w:spacing w:line="300" w:lineRule="exact"/>
              <w:rPr>
                <w:rFonts w:hint="eastAsia" w:ascii="宋体" w:hAnsi="宋体" w:cs="宋体"/>
                <w:sz w:val="28"/>
                <w:szCs w:val="24"/>
                <w:highlight w:val="none"/>
              </w:rPr>
            </w:pPr>
            <w:r>
              <w:rPr>
                <w:rFonts w:hint="eastAsia" w:ascii="宋体" w:hAnsi="宋体" w:cs="宋体"/>
                <w:sz w:val="28"/>
                <w:szCs w:val="24"/>
                <w:highlight w:val="none"/>
              </w:rPr>
              <w:t>工程收尾阶段</w:t>
            </w:r>
          </w:p>
        </w:tc>
        <w:tc>
          <w:tcPr>
            <w:tcW w:w="586" w:type="dxa"/>
            <w:noWrap w:val="0"/>
            <w:vAlign w:val="center"/>
          </w:tcPr>
          <w:p w14:paraId="193DBA67">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165" w:type="dxa"/>
            <w:gridSpan w:val="3"/>
            <w:noWrap w:val="0"/>
            <w:vAlign w:val="center"/>
          </w:tcPr>
          <w:p w14:paraId="23CDCB16">
            <w:pPr>
              <w:spacing w:line="300" w:lineRule="exact"/>
              <w:rPr>
                <w:rFonts w:hint="eastAsia" w:ascii="宋体" w:hAnsi="宋体" w:cs="宋体"/>
                <w:sz w:val="28"/>
                <w:szCs w:val="24"/>
                <w:highlight w:val="none"/>
              </w:rPr>
            </w:pPr>
            <w:r>
              <w:rPr>
                <w:rFonts w:hint="eastAsia" w:ascii="宋体" w:hAnsi="宋体" w:cs="宋体"/>
                <w:sz w:val="28"/>
                <w:szCs w:val="24"/>
                <w:highlight w:val="none"/>
              </w:rPr>
              <w:t>分部分项工程验收记录表、监理单位的工程质量评估资料不全，扣2分。</w:t>
            </w:r>
          </w:p>
        </w:tc>
        <w:tc>
          <w:tcPr>
            <w:tcW w:w="582" w:type="dxa"/>
            <w:noWrap w:val="0"/>
            <w:vAlign w:val="center"/>
          </w:tcPr>
          <w:p w14:paraId="37F45A55">
            <w:pPr>
              <w:spacing w:line="300" w:lineRule="exact"/>
              <w:jc w:val="center"/>
              <w:rPr>
                <w:rFonts w:hint="eastAsia" w:ascii="宋体" w:hAnsi="宋体" w:cs="宋体"/>
                <w:sz w:val="28"/>
                <w:szCs w:val="24"/>
                <w:highlight w:val="none"/>
              </w:rPr>
            </w:pPr>
          </w:p>
        </w:tc>
        <w:tc>
          <w:tcPr>
            <w:tcW w:w="1090" w:type="dxa"/>
            <w:noWrap w:val="0"/>
            <w:vAlign w:val="center"/>
          </w:tcPr>
          <w:p w14:paraId="4FFB5DA0">
            <w:pPr>
              <w:spacing w:line="300" w:lineRule="exact"/>
              <w:jc w:val="center"/>
              <w:rPr>
                <w:rFonts w:hint="eastAsia" w:ascii="宋体" w:hAnsi="宋体" w:cs="宋体"/>
                <w:sz w:val="28"/>
                <w:szCs w:val="24"/>
                <w:highlight w:val="none"/>
              </w:rPr>
            </w:pPr>
          </w:p>
        </w:tc>
      </w:tr>
      <w:tr w14:paraId="69D6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865" w:type="dxa"/>
            <w:gridSpan w:val="3"/>
            <w:noWrap w:val="0"/>
            <w:vAlign w:val="top"/>
          </w:tcPr>
          <w:p w14:paraId="591B334C">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6423" w:type="dxa"/>
            <w:gridSpan w:val="6"/>
            <w:noWrap w:val="0"/>
            <w:vAlign w:val="center"/>
          </w:tcPr>
          <w:p w14:paraId="74243978">
            <w:pPr>
              <w:spacing w:line="300" w:lineRule="exact"/>
              <w:jc w:val="center"/>
              <w:rPr>
                <w:rFonts w:hint="eastAsia" w:ascii="宋体" w:hAnsi="宋体" w:cs="宋体"/>
                <w:sz w:val="28"/>
                <w:szCs w:val="24"/>
                <w:highlight w:val="none"/>
              </w:rPr>
            </w:pPr>
          </w:p>
        </w:tc>
      </w:tr>
      <w:tr w14:paraId="507A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288" w:type="dxa"/>
            <w:gridSpan w:val="9"/>
            <w:noWrap w:val="0"/>
            <w:vAlign w:val="center"/>
          </w:tcPr>
          <w:p w14:paraId="49939E0C">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工程管理部签字：                                 日期：</w:t>
            </w:r>
          </w:p>
        </w:tc>
      </w:tr>
    </w:tbl>
    <w:p w14:paraId="2483D504">
      <w:pPr>
        <w:pStyle w:val="6"/>
        <w:ind w:firstLine="560"/>
        <w:rPr>
          <w:rFonts w:hint="eastAsia" w:ascii="宋体" w:hAnsi="宋体" w:cs="宋体"/>
          <w:sz w:val="28"/>
          <w:szCs w:val="28"/>
          <w:highlight w:val="none"/>
        </w:rPr>
      </w:pPr>
    </w:p>
    <w:p w14:paraId="61B39763">
      <w:pPr>
        <w:widowControl/>
        <w:jc w:val="left"/>
        <w:rPr>
          <w:rFonts w:hint="eastAsia" w:ascii="宋体" w:hAnsi="宋体" w:cs="宋体"/>
          <w:sz w:val="28"/>
          <w:szCs w:val="24"/>
          <w:highlight w:val="none"/>
        </w:rPr>
      </w:pPr>
      <w:r>
        <w:rPr>
          <w:rFonts w:hint="eastAsia" w:ascii="宋体" w:hAnsi="宋体" w:cs="宋体"/>
          <w:sz w:val="28"/>
          <w:szCs w:val="24"/>
          <w:highlight w:val="none"/>
        </w:rPr>
        <w:br w:type="page"/>
      </w:r>
    </w:p>
    <w:tbl>
      <w:tblPr>
        <w:tblStyle w:val="14"/>
        <w:tblW w:w="9492" w:type="dxa"/>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310"/>
        <w:gridCol w:w="14"/>
        <w:gridCol w:w="791"/>
        <w:gridCol w:w="1568"/>
        <w:gridCol w:w="2373"/>
        <w:gridCol w:w="1022"/>
        <w:gridCol w:w="587"/>
        <w:gridCol w:w="764"/>
      </w:tblGrid>
      <w:tr w14:paraId="272D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gridSpan w:val="2"/>
            <w:noWrap w:val="0"/>
            <w:vAlign w:val="top"/>
          </w:tcPr>
          <w:p w14:paraId="0A3846B4">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监理单位名称</w:t>
            </w:r>
          </w:p>
        </w:tc>
        <w:tc>
          <w:tcPr>
            <w:tcW w:w="2373" w:type="dxa"/>
            <w:gridSpan w:val="3"/>
            <w:noWrap w:val="0"/>
            <w:vAlign w:val="top"/>
          </w:tcPr>
          <w:p w14:paraId="3893E55D">
            <w:pPr>
              <w:spacing w:line="300" w:lineRule="exact"/>
              <w:jc w:val="center"/>
              <w:rPr>
                <w:rFonts w:hint="eastAsia" w:ascii="宋体" w:hAnsi="宋体" w:cs="宋体"/>
                <w:b/>
                <w:bCs/>
                <w:sz w:val="28"/>
                <w:szCs w:val="24"/>
                <w:highlight w:val="none"/>
              </w:rPr>
            </w:pPr>
          </w:p>
        </w:tc>
        <w:tc>
          <w:tcPr>
            <w:tcW w:w="2373" w:type="dxa"/>
            <w:noWrap w:val="0"/>
            <w:vAlign w:val="top"/>
          </w:tcPr>
          <w:p w14:paraId="5B61C996">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373" w:type="dxa"/>
            <w:gridSpan w:val="3"/>
            <w:noWrap w:val="0"/>
            <w:vAlign w:val="top"/>
          </w:tcPr>
          <w:p w14:paraId="5D9DA375">
            <w:pPr>
              <w:spacing w:line="300" w:lineRule="exact"/>
              <w:jc w:val="center"/>
              <w:rPr>
                <w:rFonts w:hint="eastAsia" w:ascii="宋体" w:hAnsi="宋体" w:cs="宋体"/>
                <w:b/>
                <w:bCs/>
                <w:sz w:val="28"/>
                <w:szCs w:val="24"/>
                <w:highlight w:val="none"/>
              </w:rPr>
            </w:pPr>
          </w:p>
        </w:tc>
      </w:tr>
      <w:tr w14:paraId="1300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8" w:type="dxa"/>
            <w:gridSpan w:val="4"/>
            <w:noWrap w:val="0"/>
            <w:vAlign w:val="top"/>
          </w:tcPr>
          <w:p w14:paraId="310EC7CD">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考核部门</w:t>
            </w:r>
          </w:p>
        </w:tc>
        <w:tc>
          <w:tcPr>
            <w:tcW w:w="6314" w:type="dxa"/>
            <w:gridSpan w:val="5"/>
            <w:noWrap w:val="0"/>
            <w:vAlign w:val="center"/>
          </w:tcPr>
          <w:p w14:paraId="04D023B6">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安全质量中心（40分）</w:t>
            </w:r>
          </w:p>
        </w:tc>
      </w:tr>
      <w:tr w14:paraId="4F60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noWrap w:val="0"/>
            <w:vAlign w:val="top"/>
          </w:tcPr>
          <w:p w14:paraId="4B84F5BC">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考核项目</w:t>
            </w:r>
          </w:p>
        </w:tc>
        <w:tc>
          <w:tcPr>
            <w:tcW w:w="1324" w:type="dxa"/>
            <w:gridSpan w:val="2"/>
            <w:noWrap w:val="0"/>
            <w:vAlign w:val="center"/>
          </w:tcPr>
          <w:p w14:paraId="417BF6C7">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考核内容</w:t>
            </w:r>
          </w:p>
        </w:tc>
        <w:tc>
          <w:tcPr>
            <w:tcW w:w="791" w:type="dxa"/>
            <w:noWrap w:val="0"/>
            <w:vAlign w:val="center"/>
          </w:tcPr>
          <w:p w14:paraId="386FA56C">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分值</w:t>
            </w:r>
          </w:p>
        </w:tc>
        <w:tc>
          <w:tcPr>
            <w:tcW w:w="4963" w:type="dxa"/>
            <w:gridSpan w:val="3"/>
            <w:noWrap w:val="0"/>
            <w:vAlign w:val="center"/>
          </w:tcPr>
          <w:p w14:paraId="29648DC8">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评分标准</w:t>
            </w:r>
          </w:p>
        </w:tc>
        <w:tc>
          <w:tcPr>
            <w:tcW w:w="587" w:type="dxa"/>
            <w:noWrap w:val="0"/>
            <w:vAlign w:val="center"/>
          </w:tcPr>
          <w:p w14:paraId="4FB05E9D">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得分</w:t>
            </w:r>
          </w:p>
        </w:tc>
        <w:tc>
          <w:tcPr>
            <w:tcW w:w="764" w:type="dxa"/>
            <w:noWrap w:val="0"/>
            <w:vAlign w:val="center"/>
          </w:tcPr>
          <w:p w14:paraId="0E57D0A4">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扣分原因</w:t>
            </w:r>
          </w:p>
        </w:tc>
      </w:tr>
      <w:tr w14:paraId="642B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noWrap w:val="0"/>
            <w:vAlign w:val="center"/>
          </w:tcPr>
          <w:p w14:paraId="5C42798D">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质量控制</w:t>
            </w:r>
          </w:p>
        </w:tc>
        <w:tc>
          <w:tcPr>
            <w:tcW w:w="1324" w:type="dxa"/>
            <w:gridSpan w:val="2"/>
            <w:noWrap w:val="0"/>
            <w:vAlign w:val="center"/>
          </w:tcPr>
          <w:p w14:paraId="68FF7294">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施工准备</w:t>
            </w:r>
          </w:p>
        </w:tc>
        <w:tc>
          <w:tcPr>
            <w:tcW w:w="791" w:type="dxa"/>
            <w:noWrap w:val="0"/>
            <w:vAlign w:val="center"/>
          </w:tcPr>
          <w:p w14:paraId="14D0B925">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3</w:t>
            </w:r>
          </w:p>
        </w:tc>
        <w:tc>
          <w:tcPr>
            <w:tcW w:w="4963" w:type="dxa"/>
            <w:gridSpan w:val="3"/>
            <w:noWrap w:val="0"/>
            <w:vAlign w:val="center"/>
          </w:tcPr>
          <w:p w14:paraId="04AE50CB">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施工组织技术方案（专项方案、技术交底、图纸会审等），未审核，审核后仍存在重大漏洞及错误，并未将审查意见报委托人备案；扣3分。</w:t>
            </w:r>
          </w:p>
        </w:tc>
        <w:tc>
          <w:tcPr>
            <w:tcW w:w="587" w:type="dxa"/>
            <w:noWrap w:val="0"/>
            <w:vAlign w:val="center"/>
          </w:tcPr>
          <w:p w14:paraId="597DA1B6">
            <w:pPr>
              <w:kinsoku w:val="0"/>
              <w:overflowPunct w:val="0"/>
              <w:autoSpaceDE w:val="0"/>
              <w:autoSpaceDN w:val="0"/>
              <w:snapToGrid w:val="0"/>
              <w:spacing w:line="340" w:lineRule="exact"/>
              <w:rPr>
                <w:rFonts w:hint="eastAsia" w:ascii="宋体" w:hAnsi="宋体" w:cs="宋体"/>
                <w:sz w:val="24"/>
                <w:szCs w:val="24"/>
                <w:highlight w:val="none"/>
              </w:rPr>
            </w:pPr>
          </w:p>
        </w:tc>
        <w:tc>
          <w:tcPr>
            <w:tcW w:w="764" w:type="dxa"/>
            <w:noWrap w:val="0"/>
            <w:vAlign w:val="center"/>
          </w:tcPr>
          <w:p w14:paraId="29D0372A">
            <w:pPr>
              <w:kinsoku w:val="0"/>
              <w:overflowPunct w:val="0"/>
              <w:autoSpaceDE w:val="0"/>
              <w:autoSpaceDN w:val="0"/>
              <w:snapToGrid w:val="0"/>
              <w:spacing w:line="340" w:lineRule="exact"/>
              <w:rPr>
                <w:rFonts w:hint="eastAsia" w:ascii="宋体" w:hAnsi="宋体" w:cs="宋体"/>
                <w:sz w:val="24"/>
                <w:szCs w:val="24"/>
                <w:highlight w:val="none"/>
              </w:rPr>
            </w:pPr>
          </w:p>
        </w:tc>
      </w:tr>
      <w:tr w14:paraId="4973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noWrap w:val="0"/>
            <w:vAlign w:val="center"/>
          </w:tcPr>
          <w:p w14:paraId="6A0B0E21">
            <w:pPr>
              <w:kinsoku w:val="0"/>
              <w:overflowPunct w:val="0"/>
              <w:autoSpaceDE w:val="0"/>
              <w:autoSpaceDN w:val="0"/>
              <w:snapToGrid w:val="0"/>
              <w:spacing w:line="340" w:lineRule="exact"/>
              <w:rPr>
                <w:rFonts w:hint="eastAsia" w:ascii="宋体" w:hAnsi="宋体" w:cs="宋体"/>
                <w:sz w:val="24"/>
                <w:szCs w:val="24"/>
                <w:highlight w:val="none"/>
              </w:rPr>
            </w:pPr>
          </w:p>
        </w:tc>
        <w:tc>
          <w:tcPr>
            <w:tcW w:w="1324" w:type="dxa"/>
            <w:gridSpan w:val="2"/>
            <w:noWrap w:val="0"/>
            <w:vAlign w:val="center"/>
          </w:tcPr>
          <w:p w14:paraId="705A7BBC">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原材料控制</w:t>
            </w:r>
          </w:p>
        </w:tc>
        <w:tc>
          <w:tcPr>
            <w:tcW w:w="791" w:type="dxa"/>
            <w:noWrap w:val="0"/>
            <w:vAlign w:val="center"/>
          </w:tcPr>
          <w:p w14:paraId="44C64187">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3</w:t>
            </w:r>
          </w:p>
        </w:tc>
        <w:tc>
          <w:tcPr>
            <w:tcW w:w="4963" w:type="dxa"/>
            <w:gridSpan w:val="3"/>
            <w:noWrap w:val="0"/>
            <w:vAlign w:val="center"/>
          </w:tcPr>
          <w:p w14:paraId="3D324060">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未审查施工承包人报送的工程材料、构配件、设备质量证明文件的有效性和符合性，未按规定对用于工程的材料采取平行检验或见证取样方式进行抽检，扣3分。</w:t>
            </w:r>
          </w:p>
        </w:tc>
        <w:tc>
          <w:tcPr>
            <w:tcW w:w="587" w:type="dxa"/>
            <w:noWrap w:val="0"/>
            <w:vAlign w:val="center"/>
          </w:tcPr>
          <w:p w14:paraId="7BC7D728">
            <w:pPr>
              <w:kinsoku w:val="0"/>
              <w:overflowPunct w:val="0"/>
              <w:autoSpaceDE w:val="0"/>
              <w:autoSpaceDN w:val="0"/>
              <w:snapToGrid w:val="0"/>
              <w:spacing w:line="340" w:lineRule="exact"/>
              <w:rPr>
                <w:rFonts w:hint="eastAsia" w:ascii="宋体" w:hAnsi="宋体" w:cs="宋体"/>
                <w:sz w:val="24"/>
                <w:szCs w:val="24"/>
                <w:highlight w:val="none"/>
              </w:rPr>
            </w:pPr>
          </w:p>
        </w:tc>
        <w:tc>
          <w:tcPr>
            <w:tcW w:w="764" w:type="dxa"/>
            <w:noWrap w:val="0"/>
            <w:vAlign w:val="center"/>
          </w:tcPr>
          <w:p w14:paraId="56A25B78">
            <w:pPr>
              <w:kinsoku w:val="0"/>
              <w:overflowPunct w:val="0"/>
              <w:autoSpaceDE w:val="0"/>
              <w:autoSpaceDN w:val="0"/>
              <w:snapToGrid w:val="0"/>
              <w:spacing w:line="340" w:lineRule="exact"/>
              <w:rPr>
                <w:rFonts w:hint="eastAsia" w:ascii="宋体" w:hAnsi="宋体" w:cs="宋体"/>
                <w:sz w:val="24"/>
                <w:szCs w:val="24"/>
                <w:highlight w:val="none"/>
              </w:rPr>
            </w:pPr>
          </w:p>
        </w:tc>
      </w:tr>
      <w:tr w14:paraId="3968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noWrap w:val="0"/>
            <w:vAlign w:val="center"/>
          </w:tcPr>
          <w:p w14:paraId="36C98F0F">
            <w:pPr>
              <w:kinsoku w:val="0"/>
              <w:overflowPunct w:val="0"/>
              <w:autoSpaceDE w:val="0"/>
              <w:autoSpaceDN w:val="0"/>
              <w:snapToGrid w:val="0"/>
              <w:spacing w:line="340" w:lineRule="exact"/>
              <w:rPr>
                <w:rFonts w:hint="eastAsia" w:ascii="宋体" w:hAnsi="宋体" w:cs="宋体"/>
                <w:sz w:val="24"/>
                <w:szCs w:val="24"/>
                <w:highlight w:val="none"/>
              </w:rPr>
            </w:pPr>
          </w:p>
        </w:tc>
        <w:tc>
          <w:tcPr>
            <w:tcW w:w="1324" w:type="dxa"/>
            <w:gridSpan w:val="2"/>
            <w:vMerge w:val="restart"/>
            <w:noWrap w:val="0"/>
            <w:vAlign w:val="center"/>
          </w:tcPr>
          <w:p w14:paraId="11F65F59">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过程控制</w:t>
            </w:r>
          </w:p>
        </w:tc>
        <w:tc>
          <w:tcPr>
            <w:tcW w:w="791" w:type="dxa"/>
            <w:noWrap w:val="0"/>
            <w:vAlign w:val="center"/>
          </w:tcPr>
          <w:p w14:paraId="77EA27CF">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4</w:t>
            </w:r>
          </w:p>
        </w:tc>
        <w:tc>
          <w:tcPr>
            <w:tcW w:w="4963" w:type="dxa"/>
            <w:gridSpan w:val="3"/>
            <w:noWrap w:val="0"/>
            <w:vAlign w:val="center"/>
          </w:tcPr>
          <w:p w14:paraId="11C2FEE1">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 xml:space="preserve">施工单位未按图纸、变更或相关规范、规定和样板施工的，监理未及时发现造成工程质量返工或工期延误的，扣4分。                        </w:t>
            </w:r>
          </w:p>
        </w:tc>
        <w:tc>
          <w:tcPr>
            <w:tcW w:w="587" w:type="dxa"/>
            <w:noWrap w:val="0"/>
            <w:vAlign w:val="center"/>
          </w:tcPr>
          <w:p w14:paraId="0A157C49">
            <w:pPr>
              <w:kinsoku w:val="0"/>
              <w:overflowPunct w:val="0"/>
              <w:autoSpaceDE w:val="0"/>
              <w:autoSpaceDN w:val="0"/>
              <w:snapToGrid w:val="0"/>
              <w:spacing w:line="340" w:lineRule="exact"/>
              <w:rPr>
                <w:rFonts w:hint="eastAsia" w:ascii="宋体" w:hAnsi="宋体" w:cs="宋体"/>
                <w:sz w:val="24"/>
                <w:szCs w:val="24"/>
                <w:highlight w:val="none"/>
              </w:rPr>
            </w:pPr>
          </w:p>
        </w:tc>
        <w:tc>
          <w:tcPr>
            <w:tcW w:w="764" w:type="dxa"/>
            <w:noWrap w:val="0"/>
            <w:vAlign w:val="center"/>
          </w:tcPr>
          <w:p w14:paraId="741A09D9">
            <w:pPr>
              <w:kinsoku w:val="0"/>
              <w:overflowPunct w:val="0"/>
              <w:autoSpaceDE w:val="0"/>
              <w:autoSpaceDN w:val="0"/>
              <w:snapToGrid w:val="0"/>
              <w:spacing w:line="340" w:lineRule="exact"/>
              <w:rPr>
                <w:rFonts w:hint="eastAsia" w:ascii="宋体" w:hAnsi="宋体" w:cs="宋体"/>
                <w:sz w:val="24"/>
                <w:szCs w:val="24"/>
                <w:highlight w:val="none"/>
              </w:rPr>
            </w:pPr>
          </w:p>
        </w:tc>
      </w:tr>
      <w:tr w14:paraId="2308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noWrap w:val="0"/>
            <w:vAlign w:val="center"/>
          </w:tcPr>
          <w:p w14:paraId="6571B740">
            <w:pPr>
              <w:kinsoku w:val="0"/>
              <w:overflowPunct w:val="0"/>
              <w:autoSpaceDE w:val="0"/>
              <w:autoSpaceDN w:val="0"/>
              <w:snapToGrid w:val="0"/>
              <w:spacing w:line="340" w:lineRule="exact"/>
              <w:rPr>
                <w:rFonts w:hint="eastAsia" w:ascii="宋体" w:hAnsi="宋体" w:cs="宋体"/>
                <w:sz w:val="24"/>
                <w:szCs w:val="24"/>
                <w:highlight w:val="none"/>
              </w:rPr>
            </w:pPr>
          </w:p>
        </w:tc>
        <w:tc>
          <w:tcPr>
            <w:tcW w:w="1324" w:type="dxa"/>
            <w:gridSpan w:val="2"/>
            <w:vMerge w:val="continue"/>
            <w:noWrap w:val="0"/>
            <w:vAlign w:val="center"/>
          </w:tcPr>
          <w:p w14:paraId="49FD2A62">
            <w:pPr>
              <w:kinsoku w:val="0"/>
              <w:overflowPunct w:val="0"/>
              <w:autoSpaceDE w:val="0"/>
              <w:autoSpaceDN w:val="0"/>
              <w:snapToGrid w:val="0"/>
              <w:spacing w:line="340" w:lineRule="exact"/>
              <w:rPr>
                <w:rFonts w:hint="eastAsia" w:ascii="宋体" w:hAnsi="宋体" w:cs="宋体"/>
                <w:sz w:val="24"/>
                <w:szCs w:val="24"/>
                <w:highlight w:val="none"/>
              </w:rPr>
            </w:pPr>
          </w:p>
        </w:tc>
        <w:tc>
          <w:tcPr>
            <w:tcW w:w="791" w:type="dxa"/>
            <w:noWrap w:val="0"/>
            <w:vAlign w:val="center"/>
          </w:tcPr>
          <w:p w14:paraId="155BFDB5">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4</w:t>
            </w:r>
          </w:p>
        </w:tc>
        <w:tc>
          <w:tcPr>
            <w:tcW w:w="4963" w:type="dxa"/>
            <w:gridSpan w:val="3"/>
            <w:noWrap w:val="0"/>
            <w:vAlign w:val="center"/>
          </w:tcPr>
          <w:p w14:paraId="1F195D93">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 xml:space="preserve">工程实体质量监督检查及存在质量问题、质量隐患时，未发监理通知、提出整改意见，扣4分。                                              </w:t>
            </w:r>
          </w:p>
        </w:tc>
        <w:tc>
          <w:tcPr>
            <w:tcW w:w="587" w:type="dxa"/>
            <w:noWrap w:val="0"/>
            <w:vAlign w:val="center"/>
          </w:tcPr>
          <w:p w14:paraId="7E5D1877">
            <w:pPr>
              <w:kinsoku w:val="0"/>
              <w:overflowPunct w:val="0"/>
              <w:autoSpaceDE w:val="0"/>
              <w:autoSpaceDN w:val="0"/>
              <w:snapToGrid w:val="0"/>
              <w:spacing w:line="340" w:lineRule="exact"/>
              <w:rPr>
                <w:rFonts w:hint="eastAsia" w:ascii="宋体" w:hAnsi="宋体" w:cs="宋体"/>
                <w:sz w:val="24"/>
                <w:szCs w:val="24"/>
                <w:highlight w:val="none"/>
              </w:rPr>
            </w:pPr>
          </w:p>
        </w:tc>
        <w:tc>
          <w:tcPr>
            <w:tcW w:w="764" w:type="dxa"/>
            <w:noWrap w:val="0"/>
            <w:vAlign w:val="center"/>
          </w:tcPr>
          <w:p w14:paraId="1AB9B876">
            <w:pPr>
              <w:kinsoku w:val="0"/>
              <w:overflowPunct w:val="0"/>
              <w:autoSpaceDE w:val="0"/>
              <w:autoSpaceDN w:val="0"/>
              <w:snapToGrid w:val="0"/>
              <w:spacing w:line="340" w:lineRule="exact"/>
              <w:rPr>
                <w:rFonts w:hint="eastAsia" w:ascii="宋体" w:hAnsi="宋体" w:cs="宋体"/>
                <w:sz w:val="24"/>
                <w:szCs w:val="24"/>
                <w:highlight w:val="none"/>
              </w:rPr>
            </w:pPr>
          </w:p>
        </w:tc>
      </w:tr>
      <w:tr w14:paraId="39EB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noWrap w:val="0"/>
            <w:vAlign w:val="center"/>
          </w:tcPr>
          <w:p w14:paraId="75E1D685">
            <w:pPr>
              <w:kinsoku w:val="0"/>
              <w:overflowPunct w:val="0"/>
              <w:autoSpaceDE w:val="0"/>
              <w:autoSpaceDN w:val="0"/>
              <w:snapToGrid w:val="0"/>
              <w:spacing w:line="340" w:lineRule="exact"/>
              <w:rPr>
                <w:rFonts w:hint="eastAsia" w:ascii="宋体" w:hAnsi="宋体" w:cs="宋体"/>
                <w:sz w:val="24"/>
                <w:szCs w:val="24"/>
                <w:highlight w:val="none"/>
              </w:rPr>
            </w:pPr>
          </w:p>
        </w:tc>
        <w:tc>
          <w:tcPr>
            <w:tcW w:w="1324" w:type="dxa"/>
            <w:gridSpan w:val="2"/>
            <w:vMerge w:val="continue"/>
            <w:noWrap w:val="0"/>
            <w:vAlign w:val="center"/>
          </w:tcPr>
          <w:p w14:paraId="496E64D8">
            <w:pPr>
              <w:kinsoku w:val="0"/>
              <w:overflowPunct w:val="0"/>
              <w:autoSpaceDE w:val="0"/>
              <w:autoSpaceDN w:val="0"/>
              <w:snapToGrid w:val="0"/>
              <w:spacing w:line="340" w:lineRule="exact"/>
              <w:rPr>
                <w:rFonts w:hint="eastAsia" w:ascii="宋体" w:hAnsi="宋体" w:cs="宋体"/>
                <w:sz w:val="24"/>
                <w:szCs w:val="24"/>
                <w:highlight w:val="none"/>
              </w:rPr>
            </w:pPr>
          </w:p>
        </w:tc>
        <w:tc>
          <w:tcPr>
            <w:tcW w:w="791" w:type="dxa"/>
            <w:noWrap w:val="0"/>
            <w:vAlign w:val="center"/>
          </w:tcPr>
          <w:p w14:paraId="375EA884">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3</w:t>
            </w:r>
          </w:p>
        </w:tc>
        <w:tc>
          <w:tcPr>
            <w:tcW w:w="4963" w:type="dxa"/>
            <w:gridSpan w:val="3"/>
            <w:noWrap w:val="0"/>
            <w:vAlign w:val="center"/>
          </w:tcPr>
          <w:p w14:paraId="72A41AAA">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 xml:space="preserve">未对验收部位进行实测、实量；对隐蔽工程未按旁站方案实施旁站或无旁站记录、旁站记录不真实，扣3分。                              </w:t>
            </w:r>
          </w:p>
        </w:tc>
        <w:tc>
          <w:tcPr>
            <w:tcW w:w="587" w:type="dxa"/>
            <w:noWrap w:val="0"/>
            <w:vAlign w:val="center"/>
          </w:tcPr>
          <w:p w14:paraId="4CB6B747">
            <w:pPr>
              <w:kinsoku w:val="0"/>
              <w:overflowPunct w:val="0"/>
              <w:autoSpaceDE w:val="0"/>
              <w:autoSpaceDN w:val="0"/>
              <w:snapToGrid w:val="0"/>
              <w:spacing w:line="340" w:lineRule="exact"/>
              <w:rPr>
                <w:rFonts w:hint="eastAsia" w:ascii="宋体" w:hAnsi="宋体" w:cs="宋体"/>
                <w:sz w:val="24"/>
                <w:szCs w:val="24"/>
                <w:highlight w:val="none"/>
              </w:rPr>
            </w:pPr>
          </w:p>
        </w:tc>
        <w:tc>
          <w:tcPr>
            <w:tcW w:w="764" w:type="dxa"/>
            <w:noWrap w:val="0"/>
            <w:vAlign w:val="center"/>
          </w:tcPr>
          <w:p w14:paraId="21E93E36">
            <w:pPr>
              <w:kinsoku w:val="0"/>
              <w:overflowPunct w:val="0"/>
              <w:autoSpaceDE w:val="0"/>
              <w:autoSpaceDN w:val="0"/>
              <w:snapToGrid w:val="0"/>
              <w:spacing w:line="340" w:lineRule="exact"/>
              <w:rPr>
                <w:rFonts w:hint="eastAsia" w:ascii="宋体" w:hAnsi="宋体" w:cs="宋体"/>
                <w:sz w:val="24"/>
                <w:szCs w:val="24"/>
                <w:highlight w:val="none"/>
              </w:rPr>
            </w:pPr>
          </w:p>
        </w:tc>
      </w:tr>
      <w:tr w14:paraId="6F0E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noWrap w:val="0"/>
            <w:vAlign w:val="center"/>
          </w:tcPr>
          <w:p w14:paraId="3B6387A1">
            <w:pPr>
              <w:kinsoku w:val="0"/>
              <w:overflowPunct w:val="0"/>
              <w:autoSpaceDE w:val="0"/>
              <w:autoSpaceDN w:val="0"/>
              <w:snapToGrid w:val="0"/>
              <w:spacing w:line="340" w:lineRule="exact"/>
              <w:rPr>
                <w:rFonts w:hint="eastAsia" w:ascii="宋体" w:hAnsi="宋体" w:cs="宋体"/>
                <w:sz w:val="24"/>
                <w:szCs w:val="24"/>
                <w:highlight w:val="none"/>
              </w:rPr>
            </w:pPr>
          </w:p>
        </w:tc>
        <w:tc>
          <w:tcPr>
            <w:tcW w:w="1324" w:type="dxa"/>
            <w:gridSpan w:val="2"/>
            <w:noWrap w:val="0"/>
            <w:vAlign w:val="center"/>
          </w:tcPr>
          <w:p w14:paraId="2CF538DE">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验收</w:t>
            </w:r>
          </w:p>
        </w:tc>
        <w:tc>
          <w:tcPr>
            <w:tcW w:w="791" w:type="dxa"/>
            <w:noWrap w:val="0"/>
            <w:vAlign w:val="center"/>
          </w:tcPr>
          <w:p w14:paraId="1A260ADA">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3</w:t>
            </w:r>
          </w:p>
        </w:tc>
        <w:tc>
          <w:tcPr>
            <w:tcW w:w="4963" w:type="dxa"/>
            <w:gridSpan w:val="3"/>
            <w:noWrap w:val="0"/>
            <w:vAlign w:val="center"/>
          </w:tcPr>
          <w:p w14:paraId="6085DF43">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未按要求进行隐蔽工程、分部分项工程验收，扣3分。</w:t>
            </w:r>
          </w:p>
        </w:tc>
        <w:tc>
          <w:tcPr>
            <w:tcW w:w="587" w:type="dxa"/>
            <w:noWrap w:val="0"/>
            <w:vAlign w:val="center"/>
          </w:tcPr>
          <w:p w14:paraId="3636FFBE">
            <w:pPr>
              <w:kinsoku w:val="0"/>
              <w:overflowPunct w:val="0"/>
              <w:autoSpaceDE w:val="0"/>
              <w:autoSpaceDN w:val="0"/>
              <w:snapToGrid w:val="0"/>
              <w:spacing w:line="340" w:lineRule="exact"/>
              <w:rPr>
                <w:rFonts w:hint="eastAsia" w:ascii="宋体" w:hAnsi="宋体" w:cs="宋体"/>
                <w:sz w:val="24"/>
                <w:szCs w:val="24"/>
                <w:highlight w:val="none"/>
              </w:rPr>
            </w:pPr>
          </w:p>
        </w:tc>
        <w:tc>
          <w:tcPr>
            <w:tcW w:w="764" w:type="dxa"/>
            <w:noWrap w:val="0"/>
            <w:vAlign w:val="center"/>
          </w:tcPr>
          <w:p w14:paraId="284DE93D">
            <w:pPr>
              <w:kinsoku w:val="0"/>
              <w:overflowPunct w:val="0"/>
              <w:autoSpaceDE w:val="0"/>
              <w:autoSpaceDN w:val="0"/>
              <w:snapToGrid w:val="0"/>
              <w:spacing w:line="340" w:lineRule="exact"/>
              <w:rPr>
                <w:rFonts w:hint="eastAsia" w:ascii="宋体" w:hAnsi="宋体" w:cs="宋体"/>
                <w:sz w:val="24"/>
                <w:szCs w:val="24"/>
                <w:highlight w:val="none"/>
              </w:rPr>
            </w:pPr>
          </w:p>
        </w:tc>
      </w:tr>
      <w:tr w14:paraId="78C5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noWrap w:val="0"/>
            <w:vAlign w:val="center"/>
          </w:tcPr>
          <w:p w14:paraId="16882E80">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安全文明管理</w:t>
            </w:r>
          </w:p>
        </w:tc>
        <w:tc>
          <w:tcPr>
            <w:tcW w:w="1324" w:type="dxa"/>
            <w:gridSpan w:val="2"/>
            <w:vMerge w:val="restart"/>
            <w:noWrap w:val="0"/>
            <w:vAlign w:val="center"/>
          </w:tcPr>
          <w:p w14:paraId="092BDCD0">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安全文件审查</w:t>
            </w:r>
          </w:p>
        </w:tc>
        <w:tc>
          <w:tcPr>
            <w:tcW w:w="791" w:type="dxa"/>
            <w:vMerge w:val="restart"/>
            <w:noWrap w:val="0"/>
            <w:vAlign w:val="center"/>
          </w:tcPr>
          <w:p w14:paraId="11E55E03">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10</w:t>
            </w:r>
          </w:p>
        </w:tc>
        <w:tc>
          <w:tcPr>
            <w:tcW w:w="4963" w:type="dxa"/>
            <w:gridSpan w:val="3"/>
            <w:vMerge w:val="restart"/>
            <w:noWrap w:val="0"/>
            <w:vAlign w:val="center"/>
          </w:tcPr>
          <w:p w14:paraId="642E6622">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 xml:space="preserve">1.未审查施工单位安全生产制度与体系，未审查施工单位资质、安全生产许可证，管理人员及特种作业人员资格，扣5分。                     </w:t>
            </w:r>
          </w:p>
          <w:p w14:paraId="5FCED76F">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 xml:space="preserve">2.未按《建设工程安全生产管理条例》规定审查施工单位编制安全技术措施及危险性较大的分部分项工程专项施工方案是否符合，并签署意见，扣5分。                                                     </w:t>
            </w:r>
          </w:p>
        </w:tc>
        <w:tc>
          <w:tcPr>
            <w:tcW w:w="587" w:type="dxa"/>
            <w:noWrap w:val="0"/>
            <w:vAlign w:val="center"/>
          </w:tcPr>
          <w:p w14:paraId="77217F2E">
            <w:pPr>
              <w:kinsoku w:val="0"/>
              <w:overflowPunct w:val="0"/>
              <w:autoSpaceDE w:val="0"/>
              <w:autoSpaceDN w:val="0"/>
              <w:snapToGrid w:val="0"/>
              <w:spacing w:line="340" w:lineRule="exact"/>
              <w:rPr>
                <w:rFonts w:hint="eastAsia" w:ascii="宋体" w:hAnsi="宋体" w:cs="宋体"/>
                <w:sz w:val="24"/>
                <w:szCs w:val="24"/>
                <w:highlight w:val="none"/>
              </w:rPr>
            </w:pPr>
          </w:p>
        </w:tc>
        <w:tc>
          <w:tcPr>
            <w:tcW w:w="764" w:type="dxa"/>
            <w:noWrap w:val="0"/>
            <w:vAlign w:val="center"/>
          </w:tcPr>
          <w:p w14:paraId="7AF90E53">
            <w:pPr>
              <w:kinsoku w:val="0"/>
              <w:overflowPunct w:val="0"/>
              <w:autoSpaceDE w:val="0"/>
              <w:autoSpaceDN w:val="0"/>
              <w:snapToGrid w:val="0"/>
              <w:spacing w:line="340" w:lineRule="exact"/>
              <w:rPr>
                <w:rFonts w:hint="eastAsia" w:ascii="宋体" w:hAnsi="宋体" w:cs="宋体"/>
                <w:sz w:val="24"/>
                <w:szCs w:val="24"/>
                <w:highlight w:val="none"/>
              </w:rPr>
            </w:pPr>
          </w:p>
        </w:tc>
      </w:tr>
      <w:tr w14:paraId="5004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noWrap w:val="0"/>
            <w:vAlign w:val="center"/>
          </w:tcPr>
          <w:p w14:paraId="0B5D5464">
            <w:pPr>
              <w:kinsoku w:val="0"/>
              <w:overflowPunct w:val="0"/>
              <w:autoSpaceDE w:val="0"/>
              <w:autoSpaceDN w:val="0"/>
              <w:snapToGrid w:val="0"/>
              <w:spacing w:line="340" w:lineRule="exact"/>
              <w:rPr>
                <w:rFonts w:hint="eastAsia" w:ascii="宋体" w:hAnsi="宋体" w:cs="宋体"/>
                <w:sz w:val="24"/>
                <w:szCs w:val="24"/>
                <w:highlight w:val="none"/>
              </w:rPr>
            </w:pPr>
          </w:p>
        </w:tc>
        <w:tc>
          <w:tcPr>
            <w:tcW w:w="1324" w:type="dxa"/>
            <w:gridSpan w:val="2"/>
            <w:vMerge w:val="continue"/>
            <w:noWrap w:val="0"/>
            <w:vAlign w:val="center"/>
          </w:tcPr>
          <w:p w14:paraId="732FDD56">
            <w:pPr>
              <w:kinsoku w:val="0"/>
              <w:overflowPunct w:val="0"/>
              <w:autoSpaceDE w:val="0"/>
              <w:autoSpaceDN w:val="0"/>
              <w:snapToGrid w:val="0"/>
              <w:spacing w:line="340" w:lineRule="exact"/>
              <w:rPr>
                <w:rFonts w:hint="eastAsia" w:ascii="宋体" w:hAnsi="宋体" w:cs="宋体"/>
                <w:sz w:val="24"/>
                <w:szCs w:val="24"/>
                <w:highlight w:val="none"/>
              </w:rPr>
            </w:pPr>
          </w:p>
        </w:tc>
        <w:tc>
          <w:tcPr>
            <w:tcW w:w="791" w:type="dxa"/>
            <w:vMerge w:val="continue"/>
            <w:noWrap w:val="0"/>
            <w:vAlign w:val="center"/>
          </w:tcPr>
          <w:p w14:paraId="0FF4A3D6">
            <w:pPr>
              <w:kinsoku w:val="0"/>
              <w:overflowPunct w:val="0"/>
              <w:autoSpaceDE w:val="0"/>
              <w:autoSpaceDN w:val="0"/>
              <w:snapToGrid w:val="0"/>
              <w:spacing w:line="340" w:lineRule="exact"/>
              <w:rPr>
                <w:rFonts w:hint="eastAsia" w:ascii="宋体" w:hAnsi="宋体" w:cs="宋体"/>
                <w:sz w:val="24"/>
                <w:szCs w:val="24"/>
                <w:highlight w:val="none"/>
              </w:rPr>
            </w:pPr>
          </w:p>
        </w:tc>
        <w:tc>
          <w:tcPr>
            <w:tcW w:w="4963" w:type="dxa"/>
            <w:gridSpan w:val="3"/>
            <w:vMerge w:val="continue"/>
            <w:noWrap w:val="0"/>
            <w:vAlign w:val="center"/>
          </w:tcPr>
          <w:p w14:paraId="61578CC0">
            <w:pPr>
              <w:kinsoku w:val="0"/>
              <w:overflowPunct w:val="0"/>
              <w:autoSpaceDE w:val="0"/>
              <w:autoSpaceDN w:val="0"/>
              <w:snapToGrid w:val="0"/>
              <w:spacing w:line="340" w:lineRule="exact"/>
              <w:rPr>
                <w:rFonts w:hint="eastAsia" w:ascii="宋体" w:hAnsi="宋体" w:cs="宋体"/>
                <w:sz w:val="24"/>
                <w:szCs w:val="24"/>
                <w:highlight w:val="none"/>
              </w:rPr>
            </w:pPr>
          </w:p>
        </w:tc>
        <w:tc>
          <w:tcPr>
            <w:tcW w:w="587" w:type="dxa"/>
            <w:noWrap w:val="0"/>
            <w:vAlign w:val="center"/>
          </w:tcPr>
          <w:p w14:paraId="21A2A2D0">
            <w:pPr>
              <w:kinsoku w:val="0"/>
              <w:overflowPunct w:val="0"/>
              <w:autoSpaceDE w:val="0"/>
              <w:autoSpaceDN w:val="0"/>
              <w:snapToGrid w:val="0"/>
              <w:spacing w:line="340" w:lineRule="exact"/>
              <w:rPr>
                <w:rFonts w:hint="eastAsia" w:ascii="宋体" w:hAnsi="宋体" w:cs="宋体"/>
                <w:sz w:val="24"/>
                <w:szCs w:val="24"/>
                <w:highlight w:val="none"/>
              </w:rPr>
            </w:pPr>
          </w:p>
        </w:tc>
        <w:tc>
          <w:tcPr>
            <w:tcW w:w="764" w:type="dxa"/>
            <w:noWrap w:val="0"/>
            <w:vAlign w:val="center"/>
          </w:tcPr>
          <w:p w14:paraId="7B0FCDDB">
            <w:pPr>
              <w:kinsoku w:val="0"/>
              <w:overflowPunct w:val="0"/>
              <w:autoSpaceDE w:val="0"/>
              <w:autoSpaceDN w:val="0"/>
              <w:snapToGrid w:val="0"/>
              <w:spacing w:line="340" w:lineRule="exact"/>
              <w:rPr>
                <w:rFonts w:hint="eastAsia" w:ascii="宋体" w:hAnsi="宋体" w:cs="宋体"/>
                <w:sz w:val="24"/>
                <w:szCs w:val="24"/>
                <w:highlight w:val="none"/>
              </w:rPr>
            </w:pPr>
          </w:p>
        </w:tc>
      </w:tr>
      <w:tr w14:paraId="6F94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noWrap w:val="0"/>
            <w:vAlign w:val="center"/>
          </w:tcPr>
          <w:p w14:paraId="6B3B04A3">
            <w:pPr>
              <w:kinsoku w:val="0"/>
              <w:overflowPunct w:val="0"/>
              <w:autoSpaceDE w:val="0"/>
              <w:autoSpaceDN w:val="0"/>
              <w:snapToGrid w:val="0"/>
              <w:spacing w:line="340" w:lineRule="exact"/>
              <w:rPr>
                <w:rFonts w:hint="eastAsia" w:ascii="宋体" w:hAnsi="宋体" w:cs="宋体"/>
                <w:sz w:val="24"/>
                <w:szCs w:val="24"/>
                <w:highlight w:val="none"/>
              </w:rPr>
            </w:pPr>
          </w:p>
        </w:tc>
        <w:tc>
          <w:tcPr>
            <w:tcW w:w="1324" w:type="dxa"/>
            <w:gridSpan w:val="2"/>
            <w:noWrap w:val="0"/>
            <w:vAlign w:val="center"/>
          </w:tcPr>
          <w:p w14:paraId="208530C7">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过程管控</w:t>
            </w:r>
          </w:p>
        </w:tc>
        <w:tc>
          <w:tcPr>
            <w:tcW w:w="791" w:type="dxa"/>
            <w:noWrap w:val="0"/>
            <w:vAlign w:val="center"/>
          </w:tcPr>
          <w:p w14:paraId="420EB9A5">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10</w:t>
            </w:r>
          </w:p>
        </w:tc>
        <w:tc>
          <w:tcPr>
            <w:tcW w:w="4963" w:type="dxa"/>
            <w:gridSpan w:val="3"/>
            <w:noWrap w:val="0"/>
            <w:vAlign w:val="center"/>
          </w:tcPr>
          <w:p w14:paraId="4FFD6B63">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1.未对现场安全隐患及时签发整改通知单，扣5分。</w:t>
            </w:r>
          </w:p>
          <w:p w14:paraId="78D10B3A">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 xml:space="preserve">2.隐瞒安全事故或发现安全事故未按程序处理，造成重大安全事故且无应急预案审批手续的，一票否决，本季度考核为零分。 </w:t>
            </w:r>
          </w:p>
          <w:p w14:paraId="09F41880">
            <w:pPr>
              <w:kinsoku w:val="0"/>
              <w:overflowPunct w:val="0"/>
              <w:autoSpaceDE w:val="0"/>
              <w:autoSpaceDN w:val="0"/>
              <w:snapToGrid w:val="0"/>
              <w:spacing w:line="340" w:lineRule="exact"/>
              <w:rPr>
                <w:rFonts w:hint="eastAsia" w:ascii="宋体" w:hAnsi="宋体" w:cs="宋体"/>
                <w:sz w:val="24"/>
                <w:szCs w:val="24"/>
                <w:highlight w:val="none"/>
              </w:rPr>
            </w:pPr>
            <w:r>
              <w:rPr>
                <w:rFonts w:hint="eastAsia" w:ascii="宋体" w:hAnsi="宋体" w:cs="宋体"/>
                <w:sz w:val="24"/>
                <w:szCs w:val="24"/>
                <w:highlight w:val="none"/>
              </w:rPr>
              <w:t>3.未定期开展安全文明施工月度专项检查， 检查质量低下，无检查记录，扣5分。</w:t>
            </w:r>
          </w:p>
        </w:tc>
        <w:tc>
          <w:tcPr>
            <w:tcW w:w="587" w:type="dxa"/>
            <w:noWrap w:val="0"/>
            <w:vAlign w:val="center"/>
          </w:tcPr>
          <w:p w14:paraId="2E58BDFF">
            <w:pPr>
              <w:kinsoku w:val="0"/>
              <w:overflowPunct w:val="0"/>
              <w:autoSpaceDE w:val="0"/>
              <w:autoSpaceDN w:val="0"/>
              <w:snapToGrid w:val="0"/>
              <w:spacing w:line="340" w:lineRule="exact"/>
              <w:rPr>
                <w:rFonts w:hint="eastAsia" w:ascii="宋体" w:hAnsi="宋体" w:cs="宋体"/>
                <w:sz w:val="24"/>
                <w:szCs w:val="24"/>
                <w:highlight w:val="none"/>
              </w:rPr>
            </w:pPr>
          </w:p>
        </w:tc>
        <w:tc>
          <w:tcPr>
            <w:tcW w:w="764" w:type="dxa"/>
            <w:noWrap w:val="0"/>
            <w:vAlign w:val="center"/>
          </w:tcPr>
          <w:p w14:paraId="261371DD">
            <w:pPr>
              <w:kinsoku w:val="0"/>
              <w:overflowPunct w:val="0"/>
              <w:autoSpaceDE w:val="0"/>
              <w:autoSpaceDN w:val="0"/>
              <w:snapToGrid w:val="0"/>
              <w:spacing w:line="340" w:lineRule="exact"/>
              <w:rPr>
                <w:rFonts w:hint="eastAsia" w:ascii="宋体" w:hAnsi="宋体" w:cs="宋体"/>
                <w:sz w:val="24"/>
                <w:szCs w:val="24"/>
                <w:highlight w:val="none"/>
              </w:rPr>
            </w:pPr>
          </w:p>
        </w:tc>
      </w:tr>
      <w:tr w14:paraId="044B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dxa"/>
            <w:gridSpan w:val="3"/>
            <w:noWrap w:val="0"/>
            <w:vAlign w:val="top"/>
          </w:tcPr>
          <w:p w14:paraId="086AC504">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得分</w:t>
            </w:r>
          </w:p>
        </w:tc>
        <w:tc>
          <w:tcPr>
            <w:tcW w:w="7105" w:type="dxa"/>
            <w:gridSpan w:val="6"/>
            <w:noWrap w:val="0"/>
            <w:vAlign w:val="center"/>
          </w:tcPr>
          <w:p w14:paraId="59002B6F">
            <w:pPr>
              <w:spacing w:line="300" w:lineRule="exact"/>
              <w:jc w:val="center"/>
              <w:rPr>
                <w:rFonts w:hint="eastAsia" w:ascii="宋体" w:hAnsi="宋体" w:cs="宋体"/>
                <w:sz w:val="28"/>
                <w:szCs w:val="24"/>
                <w:highlight w:val="none"/>
              </w:rPr>
            </w:pPr>
          </w:p>
        </w:tc>
      </w:tr>
      <w:tr w14:paraId="08F4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gridSpan w:val="9"/>
            <w:noWrap w:val="0"/>
            <w:vAlign w:val="center"/>
          </w:tcPr>
          <w:p w14:paraId="75790260">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安全质量中心签字：                                 日期：</w:t>
            </w:r>
          </w:p>
        </w:tc>
      </w:tr>
    </w:tbl>
    <w:p w14:paraId="0BE03B43">
      <w:pPr>
        <w:pStyle w:val="6"/>
        <w:ind w:firstLine="560"/>
        <w:rPr>
          <w:rFonts w:hint="eastAsia" w:ascii="宋体" w:hAnsi="宋体" w:cs="宋体"/>
          <w:sz w:val="28"/>
          <w:szCs w:val="28"/>
          <w:highlight w:val="none"/>
        </w:rPr>
      </w:pPr>
    </w:p>
    <w:p w14:paraId="7D5073EE">
      <w:pPr>
        <w:pStyle w:val="6"/>
        <w:ind w:firstLine="560"/>
        <w:rPr>
          <w:rFonts w:hint="eastAsia" w:ascii="宋体" w:hAnsi="宋体" w:cs="宋体"/>
          <w:sz w:val="28"/>
          <w:szCs w:val="28"/>
          <w:highlight w:val="non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381"/>
        <w:gridCol w:w="262"/>
        <w:gridCol w:w="447"/>
        <w:gridCol w:w="1875"/>
        <w:gridCol w:w="2322"/>
        <w:gridCol w:w="650"/>
        <w:gridCol w:w="582"/>
        <w:gridCol w:w="1090"/>
      </w:tblGrid>
      <w:tr w14:paraId="797A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22" w:type="dxa"/>
            <w:gridSpan w:val="3"/>
            <w:noWrap w:val="0"/>
            <w:vAlign w:val="top"/>
          </w:tcPr>
          <w:p w14:paraId="3899B77C">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监理单位名称</w:t>
            </w:r>
          </w:p>
        </w:tc>
        <w:tc>
          <w:tcPr>
            <w:tcW w:w="2322" w:type="dxa"/>
            <w:gridSpan w:val="2"/>
            <w:noWrap w:val="0"/>
            <w:vAlign w:val="top"/>
          </w:tcPr>
          <w:p w14:paraId="6DF3B3EF">
            <w:pPr>
              <w:spacing w:line="300" w:lineRule="exact"/>
              <w:jc w:val="center"/>
              <w:rPr>
                <w:rFonts w:hint="eastAsia" w:ascii="宋体" w:hAnsi="宋体" w:cs="宋体"/>
                <w:b/>
                <w:bCs/>
                <w:sz w:val="28"/>
                <w:szCs w:val="24"/>
                <w:highlight w:val="none"/>
              </w:rPr>
            </w:pPr>
          </w:p>
        </w:tc>
        <w:tc>
          <w:tcPr>
            <w:tcW w:w="2322" w:type="dxa"/>
            <w:noWrap w:val="0"/>
            <w:vAlign w:val="top"/>
          </w:tcPr>
          <w:p w14:paraId="60C62122">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322" w:type="dxa"/>
            <w:gridSpan w:val="3"/>
            <w:noWrap w:val="0"/>
            <w:vAlign w:val="top"/>
          </w:tcPr>
          <w:p w14:paraId="33CA1D3A">
            <w:pPr>
              <w:spacing w:line="300" w:lineRule="exact"/>
              <w:jc w:val="center"/>
              <w:rPr>
                <w:rFonts w:hint="eastAsia" w:ascii="宋体" w:hAnsi="宋体" w:cs="宋体"/>
                <w:b/>
                <w:bCs/>
                <w:sz w:val="28"/>
                <w:szCs w:val="24"/>
                <w:highlight w:val="none"/>
              </w:rPr>
            </w:pPr>
          </w:p>
        </w:tc>
      </w:tr>
      <w:tr w14:paraId="4BF5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gridSpan w:val="4"/>
            <w:noWrap w:val="0"/>
            <w:vAlign w:val="top"/>
          </w:tcPr>
          <w:p w14:paraId="22C6F664">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考核部门</w:t>
            </w:r>
          </w:p>
        </w:tc>
        <w:tc>
          <w:tcPr>
            <w:tcW w:w="6519" w:type="dxa"/>
            <w:gridSpan w:val="5"/>
            <w:noWrap w:val="0"/>
            <w:vAlign w:val="center"/>
          </w:tcPr>
          <w:p w14:paraId="1536878F">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合同预算部（10分）</w:t>
            </w:r>
          </w:p>
        </w:tc>
      </w:tr>
      <w:tr w14:paraId="3A2B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top"/>
          </w:tcPr>
          <w:p w14:paraId="10227AE7">
            <w:pPr>
              <w:spacing w:line="300" w:lineRule="exact"/>
              <w:rPr>
                <w:rFonts w:hint="eastAsia" w:ascii="宋体" w:hAnsi="宋体" w:cs="宋体"/>
                <w:sz w:val="28"/>
                <w:szCs w:val="24"/>
                <w:highlight w:val="none"/>
              </w:rPr>
            </w:pPr>
            <w:r>
              <w:rPr>
                <w:rFonts w:hint="eastAsia" w:ascii="宋体" w:hAnsi="宋体" w:cs="宋体"/>
                <w:sz w:val="28"/>
                <w:szCs w:val="24"/>
                <w:highlight w:val="none"/>
              </w:rPr>
              <w:t>考核项目</w:t>
            </w:r>
          </w:p>
        </w:tc>
        <w:tc>
          <w:tcPr>
            <w:tcW w:w="1381" w:type="dxa"/>
            <w:noWrap w:val="0"/>
            <w:vAlign w:val="center"/>
          </w:tcPr>
          <w:p w14:paraId="1D23DB85">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考核内容</w:t>
            </w:r>
          </w:p>
        </w:tc>
        <w:tc>
          <w:tcPr>
            <w:tcW w:w="709" w:type="dxa"/>
            <w:gridSpan w:val="2"/>
            <w:noWrap w:val="0"/>
            <w:vAlign w:val="center"/>
          </w:tcPr>
          <w:p w14:paraId="7A2026DF">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分值</w:t>
            </w:r>
          </w:p>
        </w:tc>
        <w:tc>
          <w:tcPr>
            <w:tcW w:w="4847" w:type="dxa"/>
            <w:gridSpan w:val="3"/>
            <w:noWrap w:val="0"/>
            <w:vAlign w:val="center"/>
          </w:tcPr>
          <w:p w14:paraId="04C4FAEA">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评分标准</w:t>
            </w:r>
          </w:p>
        </w:tc>
        <w:tc>
          <w:tcPr>
            <w:tcW w:w="582" w:type="dxa"/>
            <w:noWrap w:val="0"/>
            <w:vAlign w:val="center"/>
          </w:tcPr>
          <w:p w14:paraId="0CF4A0DA">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得分</w:t>
            </w:r>
          </w:p>
        </w:tc>
        <w:tc>
          <w:tcPr>
            <w:tcW w:w="1090" w:type="dxa"/>
            <w:noWrap w:val="0"/>
            <w:vAlign w:val="center"/>
          </w:tcPr>
          <w:p w14:paraId="6959B811">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扣分原因</w:t>
            </w:r>
          </w:p>
        </w:tc>
      </w:tr>
      <w:tr w14:paraId="6B23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restart"/>
            <w:noWrap w:val="0"/>
            <w:vAlign w:val="center"/>
          </w:tcPr>
          <w:p w14:paraId="71528C98">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成本控制</w:t>
            </w:r>
          </w:p>
        </w:tc>
        <w:tc>
          <w:tcPr>
            <w:tcW w:w="1381" w:type="dxa"/>
            <w:noWrap w:val="0"/>
            <w:vAlign w:val="center"/>
          </w:tcPr>
          <w:p w14:paraId="283AD9CD">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工程计量和签发</w:t>
            </w:r>
          </w:p>
        </w:tc>
        <w:tc>
          <w:tcPr>
            <w:tcW w:w="709" w:type="dxa"/>
            <w:gridSpan w:val="2"/>
            <w:noWrap w:val="0"/>
            <w:vAlign w:val="center"/>
          </w:tcPr>
          <w:p w14:paraId="6CB750C9">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5</w:t>
            </w:r>
          </w:p>
        </w:tc>
        <w:tc>
          <w:tcPr>
            <w:tcW w:w="4847" w:type="dxa"/>
            <w:gridSpan w:val="3"/>
            <w:noWrap w:val="0"/>
            <w:vAlign w:val="center"/>
          </w:tcPr>
          <w:p w14:paraId="40EA43A5">
            <w:pPr>
              <w:rPr>
                <w:rFonts w:hint="eastAsia" w:ascii="宋体" w:hAnsi="宋体" w:cs="宋体"/>
                <w:sz w:val="28"/>
                <w:szCs w:val="24"/>
                <w:highlight w:val="none"/>
              </w:rPr>
            </w:pPr>
            <w:r>
              <w:rPr>
                <w:rFonts w:hint="eastAsia" w:ascii="宋体" w:hAnsi="宋体" w:cs="宋体"/>
                <w:sz w:val="28"/>
                <w:szCs w:val="24"/>
                <w:highlight w:val="none"/>
              </w:rPr>
              <w:t>未按时审核签发计量证明文件，扣2分；已审核的计量数据与实际不符，扣2分；未及时开具支付证书报告，每次扣1分。</w:t>
            </w:r>
          </w:p>
        </w:tc>
        <w:tc>
          <w:tcPr>
            <w:tcW w:w="582" w:type="dxa"/>
            <w:noWrap w:val="0"/>
            <w:vAlign w:val="center"/>
          </w:tcPr>
          <w:p w14:paraId="588D483A">
            <w:pPr>
              <w:spacing w:line="300" w:lineRule="exact"/>
              <w:jc w:val="center"/>
              <w:rPr>
                <w:rFonts w:hint="eastAsia" w:ascii="宋体" w:hAnsi="宋体" w:cs="宋体"/>
                <w:sz w:val="28"/>
                <w:szCs w:val="24"/>
                <w:highlight w:val="none"/>
              </w:rPr>
            </w:pPr>
          </w:p>
        </w:tc>
        <w:tc>
          <w:tcPr>
            <w:tcW w:w="1090" w:type="dxa"/>
            <w:noWrap w:val="0"/>
            <w:vAlign w:val="center"/>
          </w:tcPr>
          <w:p w14:paraId="36D6C30C">
            <w:pPr>
              <w:spacing w:line="300" w:lineRule="exact"/>
              <w:jc w:val="center"/>
              <w:rPr>
                <w:rFonts w:hint="eastAsia" w:ascii="宋体" w:hAnsi="宋体" w:cs="宋体"/>
                <w:sz w:val="28"/>
                <w:szCs w:val="24"/>
                <w:highlight w:val="none"/>
              </w:rPr>
            </w:pPr>
          </w:p>
        </w:tc>
      </w:tr>
      <w:tr w14:paraId="5578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center"/>
          </w:tcPr>
          <w:p w14:paraId="333011BC">
            <w:pPr>
              <w:spacing w:line="300" w:lineRule="exact"/>
              <w:jc w:val="center"/>
              <w:rPr>
                <w:rFonts w:hint="eastAsia" w:ascii="宋体" w:hAnsi="宋体" w:cs="宋体"/>
                <w:sz w:val="28"/>
                <w:szCs w:val="24"/>
                <w:highlight w:val="none"/>
              </w:rPr>
            </w:pPr>
          </w:p>
        </w:tc>
        <w:tc>
          <w:tcPr>
            <w:tcW w:w="1381" w:type="dxa"/>
            <w:noWrap w:val="0"/>
            <w:vAlign w:val="center"/>
          </w:tcPr>
          <w:p w14:paraId="67C0018F">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工程款审核</w:t>
            </w:r>
          </w:p>
        </w:tc>
        <w:tc>
          <w:tcPr>
            <w:tcW w:w="709" w:type="dxa"/>
            <w:gridSpan w:val="2"/>
            <w:noWrap w:val="0"/>
            <w:vAlign w:val="center"/>
          </w:tcPr>
          <w:p w14:paraId="2DA8EBF0">
            <w:pPr>
              <w:spacing w:line="300" w:lineRule="exact"/>
              <w:jc w:val="center"/>
              <w:rPr>
                <w:rFonts w:hint="eastAsia" w:ascii="宋体" w:hAnsi="宋体" w:eastAsia="宋体" w:cs="宋体"/>
                <w:sz w:val="28"/>
                <w:szCs w:val="24"/>
                <w:highlight w:val="none"/>
                <w:lang w:eastAsia="zh-CN"/>
              </w:rPr>
            </w:pPr>
            <w:r>
              <w:rPr>
                <w:rFonts w:hint="eastAsia" w:ascii="宋体" w:hAnsi="宋体" w:cs="宋体"/>
                <w:sz w:val="28"/>
                <w:szCs w:val="24"/>
                <w:highlight w:val="none"/>
                <w:lang w:val="en-US" w:eastAsia="zh-CN"/>
              </w:rPr>
              <w:t>3</w:t>
            </w:r>
          </w:p>
        </w:tc>
        <w:tc>
          <w:tcPr>
            <w:tcW w:w="4847" w:type="dxa"/>
            <w:gridSpan w:val="3"/>
            <w:noWrap w:val="0"/>
            <w:vAlign w:val="center"/>
          </w:tcPr>
          <w:p w14:paraId="21C62954">
            <w:pPr>
              <w:spacing w:line="300" w:lineRule="exact"/>
              <w:rPr>
                <w:rFonts w:hint="eastAsia" w:ascii="宋体" w:hAnsi="宋体" w:cs="宋体"/>
                <w:sz w:val="28"/>
                <w:szCs w:val="24"/>
                <w:highlight w:val="none"/>
              </w:rPr>
            </w:pPr>
            <w:r>
              <w:rPr>
                <w:rFonts w:hint="eastAsia" w:ascii="宋体" w:hAnsi="宋体" w:cs="宋体"/>
                <w:sz w:val="28"/>
                <w:szCs w:val="24"/>
                <w:highlight w:val="none"/>
              </w:rPr>
              <w:t>工程承包合同约定的工程价格范围内，工程款支付的审核和签认，总监理工程师未签字确认，或确认后存在错误，扣3分。</w:t>
            </w:r>
          </w:p>
        </w:tc>
        <w:tc>
          <w:tcPr>
            <w:tcW w:w="582" w:type="dxa"/>
            <w:noWrap w:val="0"/>
            <w:vAlign w:val="center"/>
          </w:tcPr>
          <w:p w14:paraId="21A9A868">
            <w:pPr>
              <w:spacing w:line="300" w:lineRule="exact"/>
              <w:jc w:val="center"/>
              <w:rPr>
                <w:rFonts w:hint="eastAsia" w:ascii="宋体" w:hAnsi="宋体" w:cs="宋体"/>
                <w:sz w:val="28"/>
                <w:szCs w:val="24"/>
                <w:highlight w:val="none"/>
              </w:rPr>
            </w:pPr>
          </w:p>
        </w:tc>
        <w:tc>
          <w:tcPr>
            <w:tcW w:w="1090" w:type="dxa"/>
            <w:noWrap w:val="0"/>
            <w:vAlign w:val="center"/>
          </w:tcPr>
          <w:p w14:paraId="11850144">
            <w:pPr>
              <w:spacing w:line="300" w:lineRule="exact"/>
              <w:jc w:val="center"/>
              <w:rPr>
                <w:rFonts w:hint="eastAsia" w:ascii="宋体" w:hAnsi="宋体" w:cs="宋体"/>
                <w:sz w:val="28"/>
                <w:szCs w:val="24"/>
                <w:highlight w:val="none"/>
              </w:rPr>
            </w:pPr>
          </w:p>
        </w:tc>
      </w:tr>
      <w:tr w14:paraId="5554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center"/>
          </w:tcPr>
          <w:p w14:paraId="22811072">
            <w:pPr>
              <w:spacing w:line="300" w:lineRule="exact"/>
              <w:jc w:val="center"/>
              <w:rPr>
                <w:rFonts w:hint="eastAsia" w:ascii="宋体" w:hAnsi="宋体" w:cs="宋体"/>
                <w:sz w:val="28"/>
                <w:szCs w:val="24"/>
                <w:highlight w:val="none"/>
              </w:rPr>
            </w:pPr>
          </w:p>
        </w:tc>
        <w:tc>
          <w:tcPr>
            <w:tcW w:w="1381" w:type="dxa"/>
            <w:noWrap w:val="0"/>
            <w:vAlign w:val="center"/>
          </w:tcPr>
          <w:p w14:paraId="24E8F630">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认质认价</w:t>
            </w:r>
          </w:p>
        </w:tc>
        <w:tc>
          <w:tcPr>
            <w:tcW w:w="709" w:type="dxa"/>
            <w:gridSpan w:val="2"/>
            <w:noWrap w:val="0"/>
            <w:vAlign w:val="center"/>
          </w:tcPr>
          <w:p w14:paraId="7B76C1D1">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847" w:type="dxa"/>
            <w:gridSpan w:val="3"/>
            <w:noWrap w:val="0"/>
            <w:vAlign w:val="center"/>
          </w:tcPr>
          <w:p w14:paraId="0F2CE92B">
            <w:pPr>
              <w:spacing w:line="300" w:lineRule="exact"/>
              <w:rPr>
                <w:rFonts w:hint="eastAsia" w:ascii="宋体" w:hAnsi="宋体" w:cs="宋体"/>
                <w:sz w:val="28"/>
                <w:szCs w:val="24"/>
                <w:highlight w:val="none"/>
              </w:rPr>
            </w:pPr>
            <w:r>
              <w:rPr>
                <w:rFonts w:hint="eastAsia" w:ascii="宋体" w:hAnsi="宋体" w:cs="宋体"/>
                <w:sz w:val="28"/>
                <w:szCs w:val="24"/>
                <w:highlight w:val="none"/>
              </w:rPr>
              <w:t>对材料设备种类、规格型号及价格进行审核或审核后仍存在错误，扣2分。</w:t>
            </w:r>
          </w:p>
        </w:tc>
        <w:tc>
          <w:tcPr>
            <w:tcW w:w="582" w:type="dxa"/>
            <w:noWrap w:val="0"/>
            <w:vAlign w:val="center"/>
          </w:tcPr>
          <w:p w14:paraId="24BB3969">
            <w:pPr>
              <w:spacing w:line="300" w:lineRule="exact"/>
              <w:jc w:val="center"/>
              <w:rPr>
                <w:rFonts w:hint="eastAsia" w:ascii="宋体" w:hAnsi="宋体" w:cs="宋体"/>
                <w:sz w:val="28"/>
                <w:szCs w:val="24"/>
                <w:highlight w:val="none"/>
              </w:rPr>
            </w:pPr>
          </w:p>
        </w:tc>
        <w:tc>
          <w:tcPr>
            <w:tcW w:w="1090" w:type="dxa"/>
            <w:noWrap w:val="0"/>
            <w:vAlign w:val="center"/>
          </w:tcPr>
          <w:p w14:paraId="346F0510">
            <w:pPr>
              <w:spacing w:line="300" w:lineRule="exact"/>
              <w:jc w:val="center"/>
              <w:rPr>
                <w:rFonts w:hint="eastAsia" w:ascii="宋体" w:hAnsi="宋体" w:cs="宋体"/>
                <w:sz w:val="28"/>
                <w:szCs w:val="24"/>
                <w:highlight w:val="none"/>
              </w:rPr>
            </w:pPr>
          </w:p>
        </w:tc>
      </w:tr>
      <w:tr w14:paraId="1822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060" w:type="dxa"/>
            <w:gridSpan w:val="2"/>
            <w:noWrap w:val="0"/>
            <w:vAlign w:val="center"/>
          </w:tcPr>
          <w:p w14:paraId="631128E0">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7228" w:type="dxa"/>
            <w:gridSpan w:val="7"/>
            <w:noWrap w:val="0"/>
            <w:vAlign w:val="center"/>
          </w:tcPr>
          <w:p w14:paraId="4893F866">
            <w:pPr>
              <w:spacing w:line="300" w:lineRule="exact"/>
              <w:jc w:val="center"/>
              <w:rPr>
                <w:rFonts w:hint="eastAsia" w:ascii="宋体" w:hAnsi="宋体" w:cs="宋体"/>
                <w:sz w:val="28"/>
                <w:szCs w:val="24"/>
                <w:highlight w:val="none"/>
              </w:rPr>
            </w:pPr>
          </w:p>
        </w:tc>
      </w:tr>
      <w:tr w14:paraId="5B60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288" w:type="dxa"/>
            <w:gridSpan w:val="9"/>
            <w:noWrap w:val="0"/>
            <w:vAlign w:val="center"/>
          </w:tcPr>
          <w:p w14:paraId="567396CF">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合同预算部签字：                                 日期：</w:t>
            </w:r>
          </w:p>
        </w:tc>
      </w:tr>
    </w:tbl>
    <w:p w14:paraId="53E70BC8">
      <w:pPr>
        <w:pStyle w:val="6"/>
        <w:ind w:firstLine="560"/>
        <w:rPr>
          <w:rFonts w:hint="eastAsia" w:ascii="宋体" w:hAnsi="宋体" w:cs="宋体"/>
          <w:sz w:val="28"/>
          <w:szCs w:val="28"/>
          <w:highlight w:val="none"/>
        </w:rPr>
      </w:pPr>
    </w:p>
    <w:p w14:paraId="12FE8EAD">
      <w:pPr>
        <w:pStyle w:val="6"/>
        <w:ind w:firstLine="560"/>
        <w:rPr>
          <w:rFonts w:hint="eastAsia" w:ascii="宋体" w:hAnsi="宋体" w:cs="宋体"/>
          <w:sz w:val="28"/>
          <w:szCs w:val="28"/>
          <w:highlight w:val="none"/>
        </w:rPr>
      </w:pPr>
      <w:r>
        <w:rPr>
          <w:rFonts w:hint="eastAsia" w:ascii="宋体" w:hAnsi="宋体" w:cs="宋体"/>
          <w:sz w:val="28"/>
          <w:szCs w:val="28"/>
          <w:highlight w:val="none"/>
        </w:rPr>
        <w:br w:type="page"/>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545"/>
        <w:gridCol w:w="98"/>
        <w:gridCol w:w="543"/>
        <w:gridCol w:w="1779"/>
        <w:gridCol w:w="2322"/>
        <w:gridCol w:w="650"/>
        <w:gridCol w:w="582"/>
        <w:gridCol w:w="1090"/>
      </w:tblGrid>
      <w:tr w14:paraId="1E85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gridSpan w:val="3"/>
            <w:noWrap w:val="0"/>
            <w:vAlign w:val="top"/>
          </w:tcPr>
          <w:p w14:paraId="2FC4C99E">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监理单位名称</w:t>
            </w:r>
          </w:p>
        </w:tc>
        <w:tc>
          <w:tcPr>
            <w:tcW w:w="2322" w:type="dxa"/>
            <w:gridSpan w:val="2"/>
            <w:noWrap w:val="0"/>
            <w:vAlign w:val="top"/>
          </w:tcPr>
          <w:p w14:paraId="4E25CA74">
            <w:pPr>
              <w:spacing w:line="300" w:lineRule="exact"/>
              <w:jc w:val="center"/>
              <w:rPr>
                <w:rFonts w:hint="eastAsia" w:ascii="宋体" w:hAnsi="宋体" w:cs="宋体"/>
                <w:b/>
                <w:bCs/>
                <w:sz w:val="28"/>
                <w:szCs w:val="24"/>
                <w:highlight w:val="none"/>
              </w:rPr>
            </w:pPr>
          </w:p>
        </w:tc>
        <w:tc>
          <w:tcPr>
            <w:tcW w:w="2322" w:type="dxa"/>
            <w:noWrap w:val="0"/>
            <w:vAlign w:val="top"/>
          </w:tcPr>
          <w:p w14:paraId="1BCBE49F">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322" w:type="dxa"/>
            <w:gridSpan w:val="3"/>
            <w:noWrap w:val="0"/>
            <w:vAlign w:val="top"/>
          </w:tcPr>
          <w:p w14:paraId="38E80D07">
            <w:pPr>
              <w:spacing w:line="300" w:lineRule="exact"/>
              <w:jc w:val="center"/>
              <w:rPr>
                <w:rFonts w:hint="eastAsia" w:ascii="宋体" w:hAnsi="宋体" w:cs="宋体"/>
                <w:b/>
                <w:bCs/>
                <w:sz w:val="28"/>
                <w:szCs w:val="24"/>
                <w:highlight w:val="none"/>
              </w:rPr>
            </w:pPr>
          </w:p>
        </w:tc>
      </w:tr>
      <w:tr w14:paraId="3E1F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5" w:type="dxa"/>
            <w:gridSpan w:val="4"/>
            <w:noWrap w:val="0"/>
            <w:vAlign w:val="top"/>
          </w:tcPr>
          <w:p w14:paraId="2E3196A0">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考核部门</w:t>
            </w:r>
          </w:p>
        </w:tc>
        <w:tc>
          <w:tcPr>
            <w:tcW w:w="6423" w:type="dxa"/>
            <w:gridSpan w:val="5"/>
            <w:noWrap w:val="0"/>
            <w:vAlign w:val="center"/>
          </w:tcPr>
          <w:p w14:paraId="55C344BE">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技术部（10分）</w:t>
            </w:r>
          </w:p>
        </w:tc>
      </w:tr>
      <w:tr w14:paraId="4158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top"/>
          </w:tcPr>
          <w:p w14:paraId="7D88DAC3">
            <w:pPr>
              <w:spacing w:line="300" w:lineRule="exact"/>
              <w:rPr>
                <w:rFonts w:hint="eastAsia" w:ascii="宋体" w:hAnsi="宋体" w:cs="宋体"/>
                <w:sz w:val="28"/>
                <w:szCs w:val="24"/>
                <w:highlight w:val="none"/>
              </w:rPr>
            </w:pPr>
            <w:r>
              <w:rPr>
                <w:rFonts w:hint="eastAsia" w:ascii="宋体" w:hAnsi="宋体" w:cs="宋体"/>
                <w:sz w:val="28"/>
                <w:szCs w:val="24"/>
                <w:highlight w:val="none"/>
              </w:rPr>
              <w:t>考核项目</w:t>
            </w:r>
          </w:p>
        </w:tc>
        <w:tc>
          <w:tcPr>
            <w:tcW w:w="1545" w:type="dxa"/>
            <w:noWrap w:val="0"/>
            <w:vAlign w:val="center"/>
          </w:tcPr>
          <w:p w14:paraId="5EC9B21D">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考核内容</w:t>
            </w:r>
          </w:p>
        </w:tc>
        <w:tc>
          <w:tcPr>
            <w:tcW w:w="641" w:type="dxa"/>
            <w:gridSpan w:val="2"/>
            <w:noWrap w:val="0"/>
            <w:vAlign w:val="center"/>
          </w:tcPr>
          <w:p w14:paraId="6EA81739">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分值</w:t>
            </w:r>
          </w:p>
        </w:tc>
        <w:tc>
          <w:tcPr>
            <w:tcW w:w="4751" w:type="dxa"/>
            <w:gridSpan w:val="3"/>
            <w:noWrap w:val="0"/>
            <w:vAlign w:val="center"/>
          </w:tcPr>
          <w:p w14:paraId="18E36E7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评分标准</w:t>
            </w:r>
          </w:p>
        </w:tc>
        <w:tc>
          <w:tcPr>
            <w:tcW w:w="582" w:type="dxa"/>
            <w:noWrap w:val="0"/>
            <w:vAlign w:val="center"/>
          </w:tcPr>
          <w:p w14:paraId="14A0A29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得分</w:t>
            </w:r>
          </w:p>
        </w:tc>
        <w:tc>
          <w:tcPr>
            <w:tcW w:w="1090" w:type="dxa"/>
            <w:noWrap w:val="0"/>
            <w:vAlign w:val="center"/>
          </w:tcPr>
          <w:p w14:paraId="58FFBB10">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扣分原因</w:t>
            </w:r>
          </w:p>
        </w:tc>
      </w:tr>
      <w:tr w14:paraId="36CE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9" w:type="dxa"/>
            <w:vMerge w:val="restart"/>
            <w:noWrap w:val="0"/>
            <w:vAlign w:val="center"/>
          </w:tcPr>
          <w:p w14:paraId="53E174B4">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设计管理</w:t>
            </w:r>
          </w:p>
        </w:tc>
        <w:tc>
          <w:tcPr>
            <w:tcW w:w="1545" w:type="dxa"/>
            <w:noWrap w:val="0"/>
            <w:vAlign w:val="center"/>
          </w:tcPr>
          <w:p w14:paraId="148F9B9F">
            <w:pPr>
              <w:spacing w:line="300" w:lineRule="exact"/>
              <w:rPr>
                <w:rFonts w:hint="eastAsia" w:ascii="宋体" w:hAnsi="宋体" w:cs="宋体"/>
                <w:sz w:val="28"/>
                <w:szCs w:val="24"/>
                <w:highlight w:val="none"/>
              </w:rPr>
            </w:pPr>
            <w:r>
              <w:rPr>
                <w:rFonts w:hint="eastAsia" w:ascii="宋体" w:hAnsi="宋体" w:cs="宋体"/>
                <w:sz w:val="28"/>
                <w:szCs w:val="24"/>
                <w:highlight w:val="none"/>
              </w:rPr>
              <w:t>图纸设计交底</w:t>
            </w:r>
          </w:p>
        </w:tc>
        <w:tc>
          <w:tcPr>
            <w:tcW w:w="641" w:type="dxa"/>
            <w:gridSpan w:val="2"/>
            <w:noWrap w:val="0"/>
            <w:vAlign w:val="center"/>
          </w:tcPr>
          <w:p w14:paraId="7F83AA7A">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751" w:type="dxa"/>
            <w:gridSpan w:val="3"/>
            <w:noWrap w:val="0"/>
            <w:vAlign w:val="center"/>
          </w:tcPr>
          <w:p w14:paraId="32B64FC1">
            <w:pPr>
              <w:spacing w:line="300" w:lineRule="exact"/>
              <w:rPr>
                <w:rFonts w:hint="eastAsia" w:ascii="宋体" w:hAnsi="宋体" w:cs="宋体"/>
                <w:sz w:val="28"/>
                <w:szCs w:val="24"/>
                <w:highlight w:val="none"/>
              </w:rPr>
            </w:pPr>
            <w:r>
              <w:rPr>
                <w:rFonts w:hint="eastAsia" w:ascii="宋体" w:hAnsi="宋体" w:cs="宋体"/>
                <w:sz w:val="28"/>
                <w:szCs w:val="24"/>
                <w:highlight w:val="none"/>
              </w:rPr>
              <w:t>未组织有关单位（包括设计单位，承包人等）进行技术交主底。对交底中澄清的问题未记录，并未整理成纪要报委托人备案，扣2分。</w:t>
            </w:r>
          </w:p>
        </w:tc>
        <w:tc>
          <w:tcPr>
            <w:tcW w:w="582" w:type="dxa"/>
            <w:noWrap w:val="0"/>
            <w:vAlign w:val="center"/>
          </w:tcPr>
          <w:p w14:paraId="5E9F5A20">
            <w:pPr>
              <w:spacing w:line="300" w:lineRule="exact"/>
              <w:jc w:val="center"/>
              <w:rPr>
                <w:rFonts w:hint="eastAsia" w:ascii="宋体" w:hAnsi="宋体" w:cs="宋体"/>
                <w:sz w:val="28"/>
                <w:szCs w:val="24"/>
                <w:highlight w:val="none"/>
              </w:rPr>
            </w:pPr>
          </w:p>
        </w:tc>
        <w:tc>
          <w:tcPr>
            <w:tcW w:w="1090" w:type="dxa"/>
            <w:noWrap w:val="0"/>
            <w:vAlign w:val="center"/>
          </w:tcPr>
          <w:p w14:paraId="6E3475DD">
            <w:pPr>
              <w:spacing w:line="300" w:lineRule="exact"/>
              <w:jc w:val="center"/>
              <w:rPr>
                <w:rFonts w:hint="eastAsia" w:ascii="宋体" w:hAnsi="宋体" w:cs="宋体"/>
                <w:sz w:val="28"/>
                <w:szCs w:val="24"/>
                <w:highlight w:val="none"/>
              </w:rPr>
            </w:pPr>
          </w:p>
        </w:tc>
      </w:tr>
      <w:tr w14:paraId="7AD3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79" w:type="dxa"/>
            <w:vMerge w:val="continue"/>
            <w:noWrap w:val="0"/>
            <w:vAlign w:val="center"/>
          </w:tcPr>
          <w:p w14:paraId="694EDB35">
            <w:pPr>
              <w:spacing w:line="300" w:lineRule="exact"/>
              <w:jc w:val="center"/>
              <w:rPr>
                <w:rFonts w:hint="eastAsia" w:ascii="宋体" w:hAnsi="宋体" w:cs="宋体"/>
                <w:sz w:val="28"/>
                <w:szCs w:val="24"/>
                <w:highlight w:val="none"/>
              </w:rPr>
            </w:pPr>
          </w:p>
        </w:tc>
        <w:tc>
          <w:tcPr>
            <w:tcW w:w="1545" w:type="dxa"/>
            <w:noWrap w:val="0"/>
            <w:vAlign w:val="center"/>
          </w:tcPr>
          <w:p w14:paraId="1B5FC0BF">
            <w:pPr>
              <w:spacing w:line="300" w:lineRule="exact"/>
              <w:rPr>
                <w:rFonts w:hint="eastAsia" w:ascii="宋体" w:hAnsi="宋体" w:cs="宋体"/>
                <w:sz w:val="28"/>
                <w:szCs w:val="24"/>
                <w:highlight w:val="none"/>
              </w:rPr>
            </w:pPr>
            <w:r>
              <w:rPr>
                <w:rFonts w:hint="eastAsia" w:ascii="宋体" w:hAnsi="宋体" w:cs="宋体"/>
                <w:sz w:val="28"/>
                <w:szCs w:val="24"/>
                <w:highlight w:val="none"/>
              </w:rPr>
              <w:t>图纸执行情况</w:t>
            </w:r>
          </w:p>
        </w:tc>
        <w:tc>
          <w:tcPr>
            <w:tcW w:w="641" w:type="dxa"/>
            <w:gridSpan w:val="2"/>
            <w:noWrap w:val="0"/>
            <w:vAlign w:val="center"/>
          </w:tcPr>
          <w:p w14:paraId="5A8E547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751" w:type="dxa"/>
            <w:gridSpan w:val="3"/>
            <w:noWrap w:val="0"/>
            <w:vAlign w:val="center"/>
          </w:tcPr>
          <w:p w14:paraId="71D8F57B">
            <w:pPr>
              <w:spacing w:line="300" w:lineRule="exact"/>
              <w:rPr>
                <w:rFonts w:hint="eastAsia" w:ascii="宋体" w:hAnsi="宋体" w:cs="宋体"/>
                <w:sz w:val="28"/>
                <w:szCs w:val="24"/>
                <w:highlight w:val="none"/>
              </w:rPr>
            </w:pPr>
            <w:r>
              <w:rPr>
                <w:rFonts w:hint="eastAsia" w:ascii="宋体" w:hAnsi="宋体" w:cs="宋体"/>
                <w:sz w:val="28"/>
                <w:szCs w:val="24"/>
                <w:highlight w:val="none"/>
              </w:rPr>
              <w:t>现场未按图施工，未及时下整改发通知单，上报建设单位扣3分。</w:t>
            </w:r>
          </w:p>
        </w:tc>
        <w:tc>
          <w:tcPr>
            <w:tcW w:w="582" w:type="dxa"/>
            <w:noWrap w:val="0"/>
            <w:vAlign w:val="center"/>
          </w:tcPr>
          <w:p w14:paraId="1F1A9FC4">
            <w:pPr>
              <w:spacing w:line="300" w:lineRule="exact"/>
              <w:jc w:val="center"/>
              <w:rPr>
                <w:rFonts w:hint="eastAsia" w:ascii="宋体" w:hAnsi="宋体" w:cs="宋体"/>
                <w:sz w:val="28"/>
                <w:szCs w:val="24"/>
                <w:highlight w:val="none"/>
              </w:rPr>
            </w:pPr>
          </w:p>
        </w:tc>
        <w:tc>
          <w:tcPr>
            <w:tcW w:w="1090" w:type="dxa"/>
            <w:noWrap w:val="0"/>
            <w:vAlign w:val="center"/>
          </w:tcPr>
          <w:p w14:paraId="55AFD5D0">
            <w:pPr>
              <w:spacing w:line="300" w:lineRule="exact"/>
              <w:jc w:val="center"/>
              <w:rPr>
                <w:rFonts w:hint="eastAsia" w:ascii="宋体" w:hAnsi="宋体" w:cs="宋体"/>
                <w:sz w:val="28"/>
                <w:szCs w:val="24"/>
                <w:highlight w:val="none"/>
              </w:rPr>
            </w:pPr>
          </w:p>
        </w:tc>
      </w:tr>
      <w:tr w14:paraId="3E3D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center"/>
          </w:tcPr>
          <w:p w14:paraId="044370FE">
            <w:pPr>
              <w:spacing w:line="300" w:lineRule="exact"/>
              <w:jc w:val="center"/>
              <w:rPr>
                <w:rFonts w:hint="eastAsia" w:ascii="宋体" w:hAnsi="宋体" w:cs="宋体"/>
                <w:sz w:val="28"/>
                <w:szCs w:val="24"/>
                <w:highlight w:val="none"/>
              </w:rPr>
            </w:pPr>
          </w:p>
        </w:tc>
        <w:tc>
          <w:tcPr>
            <w:tcW w:w="1545" w:type="dxa"/>
            <w:noWrap w:val="0"/>
            <w:vAlign w:val="center"/>
          </w:tcPr>
          <w:p w14:paraId="21CD5D3E">
            <w:pPr>
              <w:spacing w:line="300" w:lineRule="exact"/>
              <w:rPr>
                <w:rFonts w:hint="eastAsia" w:ascii="宋体" w:hAnsi="宋体" w:cs="宋体"/>
                <w:sz w:val="28"/>
                <w:szCs w:val="24"/>
                <w:highlight w:val="none"/>
              </w:rPr>
            </w:pPr>
            <w:r>
              <w:rPr>
                <w:rFonts w:hint="eastAsia" w:ascii="宋体" w:hAnsi="宋体" w:cs="宋体"/>
                <w:sz w:val="28"/>
                <w:szCs w:val="24"/>
                <w:highlight w:val="none"/>
              </w:rPr>
              <w:t>测量控制成果检查</w:t>
            </w:r>
          </w:p>
        </w:tc>
        <w:tc>
          <w:tcPr>
            <w:tcW w:w="641" w:type="dxa"/>
            <w:gridSpan w:val="2"/>
            <w:noWrap w:val="0"/>
            <w:vAlign w:val="center"/>
          </w:tcPr>
          <w:p w14:paraId="78A1A71D">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751" w:type="dxa"/>
            <w:gridSpan w:val="3"/>
            <w:noWrap w:val="0"/>
            <w:vAlign w:val="center"/>
          </w:tcPr>
          <w:p w14:paraId="60980347">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未及时对导线点、水准基点复测，无复测记录，扣2分。 </w:t>
            </w:r>
          </w:p>
        </w:tc>
        <w:tc>
          <w:tcPr>
            <w:tcW w:w="582" w:type="dxa"/>
            <w:noWrap w:val="0"/>
            <w:vAlign w:val="center"/>
          </w:tcPr>
          <w:p w14:paraId="1D578058">
            <w:pPr>
              <w:spacing w:line="300" w:lineRule="exact"/>
              <w:jc w:val="center"/>
              <w:rPr>
                <w:rFonts w:hint="eastAsia" w:ascii="宋体" w:hAnsi="宋体" w:cs="宋体"/>
                <w:sz w:val="28"/>
                <w:szCs w:val="24"/>
                <w:highlight w:val="none"/>
              </w:rPr>
            </w:pPr>
          </w:p>
        </w:tc>
        <w:tc>
          <w:tcPr>
            <w:tcW w:w="1090" w:type="dxa"/>
            <w:noWrap w:val="0"/>
            <w:vAlign w:val="center"/>
          </w:tcPr>
          <w:p w14:paraId="1D166C31">
            <w:pPr>
              <w:spacing w:line="300" w:lineRule="exact"/>
              <w:jc w:val="center"/>
              <w:rPr>
                <w:rFonts w:hint="eastAsia" w:ascii="宋体" w:hAnsi="宋体" w:cs="宋体"/>
                <w:sz w:val="28"/>
                <w:szCs w:val="24"/>
                <w:highlight w:val="none"/>
              </w:rPr>
            </w:pPr>
          </w:p>
        </w:tc>
      </w:tr>
      <w:tr w14:paraId="66AF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center"/>
          </w:tcPr>
          <w:p w14:paraId="67C77857">
            <w:pPr>
              <w:spacing w:line="300" w:lineRule="exact"/>
              <w:jc w:val="center"/>
              <w:rPr>
                <w:rFonts w:hint="eastAsia" w:ascii="宋体" w:hAnsi="宋体" w:cs="宋体"/>
                <w:sz w:val="28"/>
                <w:szCs w:val="24"/>
                <w:highlight w:val="none"/>
              </w:rPr>
            </w:pPr>
          </w:p>
        </w:tc>
        <w:tc>
          <w:tcPr>
            <w:tcW w:w="1545" w:type="dxa"/>
            <w:noWrap w:val="0"/>
            <w:vAlign w:val="center"/>
          </w:tcPr>
          <w:p w14:paraId="6E8E8732">
            <w:pPr>
              <w:spacing w:line="300" w:lineRule="exact"/>
              <w:rPr>
                <w:rFonts w:hint="eastAsia" w:ascii="宋体" w:hAnsi="宋体" w:cs="宋体"/>
                <w:sz w:val="28"/>
                <w:szCs w:val="24"/>
                <w:highlight w:val="none"/>
              </w:rPr>
            </w:pPr>
            <w:r>
              <w:rPr>
                <w:rFonts w:hint="eastAsia" w:ascii="宋体" w:hAnsi="宋体" w:cs="宋体"/>
                <w:sz w:val="28"/>
                <w:szCs w:val="24"/>
                <w:highlight w:val="none"/>
              </w:rPr>
              <w:t>封样管理</w:t>
            </w:r>
          </w:p>
        </w:tc>
        <w:tc>
          <w:tcPr>
            <w:tcW w:w="641" w:type="dxa"/>
            <w:gridSpan w:val="2"/>
            <w:noWrap w:val="0"/>
            <w:vAlign w:val="center"/>
          </w:tcPr>
          <w:p w14:paraId="491C007E">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751" w:type="dxa"/>
            <w:gridSpan w:val="3"/>
            <w:noWrap w:val="0"/>
            <w:vAlign w:val="center"/>
          </w:tcPr>
          <w:p w14:paraId="3014A092">
            <w:pPr>
              <w:spacing w:line="300" w:lineRule="exact"/>
              <w:rPr>
                <w:rFonts w:hint="eastAsia" w:ascii="宋体" w:hAnsi="宋体" w:cs="宋体"/>
                <w:sz w:val="28"/>
                <w:szCs w:val="24"/>
                <w:highlight w:val="none"/>
              </w:rPr>
            </w:pPr>
            <w:r>
              <w:rPr>
                <w:rFonts w:hint="eastAsia" w:ascii="宋体" w:hAnsi="宋体" w:cs="宋体"/>
                <w:sz w:val="28"/>
                <w:szCs w:val="24"/>
                <w:highlight w:val="none"/>
              </w:rPr>
              <w:t>现场施工材料与封样材料不一致，未监督落实，下发整改通知单扣3分。</w:t>
            </w:r>
          </w:p>
        </w:tc>
        <w:tc>
          <w:tcPr>
            <w:tcW w:w="582" w:type="dxa"/>
            <w:noWrap w:val="0"/>
            <w:vAlign w:val="center"/>
          </w:tcPr>
          <w:p w14:paraId="6CE3BA08">
            <w:pPr>
              <w:spacing w:line="300" w:lineRule="exact"/>
              <w:jc w:val="center"/>
              <w:rPr>
                <w:rFonts w:hint="eastAsia" w:ascii="宋体" w:hAnsi="宋体" w:cs="宋体"/>
                <w:sz w:val="28"/>
                <w:szCs w:val="24"/>
                <w:highlight w:val="none"/>
              </w:rPr>
            </w:pPr>
          </w:p>
        </w:tc>
        <w:tc>
          <w:tcPr>
            <w:tcW w:w="1090" w:type="dxa"/>
            <w:noWrap w:val="0"/>
            <w:vAlign w:val="center"/>
          </w:tcPr>
          <w:p w14:paraId="6A070A28">
            <w:pPr>
              <w:spacing w:line="300" w:lineRule="exact"/>
              <w:jc w:val="center"/>
              <w:rPr>
                <w:rFonts w:hint="eastAsia" w:ascii="宋体" w:hAnsi="宋体" w:cs="宋体"/>
                <w:sz w:val="28"/>
                <w:szCs w:val="24"/>
                <w:highlight w:val="none"/>
              </w:rPr>
            </w:pPr>
          </w:p>
        </w:tc>
      </w:tr>
      <w:tr w14:paraId="3D5D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gridSpan w:val="2"/>
            <w:noWrap w:val="0"/>
            <w:vAlign w:val="center"/>
          </w:tcPr>
          <w:p w14:paraId="32B22B9A">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7064" w:type="dxa"/>
            <w:gridSpan w:val="7"/>
            <w:noWrap w:val="0"/>
            <w:vAlign w:val="center"/>
          </w:tcPr>
          <w:p w14:paraId="0CED2162">
            <w:pPr>
              <w:spacing w:line="300" w:lineRule="exact"/>
              <w:jc w:val="center"/>
              <w:rPr>
                <w:rFonts w:hint="eastAsia" w:ascii="宋体" w:hAnsi="宋体" w:cs="宋体"/>
                <w:sz w:val="28"/>
                <w:szCs w:val="24"/>
                <w:highlight w:val="none"/>
              </w:rPr>
            </w:pPr>
          </w:p>
        </w:tc>
      </w:tr>
      <w:tr w14:paraId="24A5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9"/>
            <w:noWrap w:val="0"/>
            <w:vAlign w:val="center"/>
          </w:tcPr>
          <w:p w14:paraId="5A5F415A">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技术部签字：                                 日期：</w:t>
            </w:r>
          </w:p>
        </w:tc>
      </w:tr>
    </w:tbl>
    <w:p w14:paraId="131E30F6">
      <w:pPr>
        <w:pStyle w:val="6"/>
        <w:ind w:firstLine="560"/>
        <w:rPr>
          <w:rFonts w:hint="eastAsia" w:ascii="宋体" w:hAnsi="宋体" w:cs="宋体"/>
          <w:sz w:val="28"/>
          <w:szCs w:val="28"/>
          <w:highlight w:val="none"/>
        </w:rPr>
      </w:pPr>
    </w:p>
    <w:p w14:paraId="70715E75">
      <w:pPr>
        <w:pStyle w:val="6"/>
        <w:ind w:firstLine="560"/>
        <w:rPr>
          <w:rFonts w:hint="eastAsia" w:ascii="宋体" w:hAnsi="宋体" w:cs="宋体"/>
          <w:sz w:val="28"/>
          <w:szCs w:val="28"/>
          <w:highlight w:val="non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463"/>
        <w:gridCol w:w="180"/>
        <w:gridCol w:w="543"/>
        <w:gridCol w:w="1779"/>
        <w:gridCol w:w="2322"/>
        <w:gridCol w:w="650"/>
        <w:gridCol w:w="582"/>
        <w:gridCol w:w="1090"/>
      </w:tblGrid>
      <w:tr w14:paraId="313F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gridSpan w:val="3"/>
            <w:noWrap w:val="0"/>
            <w:vAlign w:val="top"/>
          </w:tcPr>
          <w:p w14:paraId="55799270">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监理单位名称</w:t>
            </w:r>
          </w:p>
        </w:tc>
        <w:tc>
          <w:tcPr>
            <w:tcW w:w="2322" w:type="dxa"/>
            <w:gridSpan w:val="2"/>
            <w:noWrap w:val="0"/>
            <w:vAlign w:val="top"/>
          </w:tcPr>
          <w:p w14:paraId="01970D03">
            <w:pPr>
              <w:spacing w:line="300" w:lineRule="exact"/>
              <w:jc w:val="center"/>
              <w:rPr>
                <w:rFonts w:hint="eastAsia" w:ascii="宋体" w:hAnsi="宋体" w:cs="宋体"/>
                <w:b/>
                <w:bCs/>
                <w:sz w:val="28"/>
                <w:szCs w:val="24"/>
                <w:highlight w:val="none"/>
              </w:rPr>
            </w:pPr>
          </w:p>
        </w:tc>
        <w:tc>
          <w:tcPr>
            <w:tcW w:w="2322" w:type="dxa"/>
            <w:noWrap w:val="0"/>
            <w:vAlign w:val="top"/>
          </w:tcPr>
          <w:p w14:paraId="72B250BD">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322" w:type="dxa"/>
            <w:gridSpan w:val="3"/>
            <w:noWrap w:val="0"/>
            <w:vAlign w:val="top"/>
          </w:tcPr>
          <w:p w14:paraId="71388921">
            <w:pPr>
              <w:spacing w:line="300" w:lineRule="exact"/>
              <w:jc w:val="center"/>
              <w:rPr>
                <w:rFonts w:hint="eastAsia" w:ascii="宋体" w:hAnsi="宋体" w:cs="宋体"/>
                <w:b/>
                <w:bCs/>
                <w:sz w:val="28"/>
                <w:szCs w:val="24"/>
                <w:highlight w:val="none"/>
              </w:rPr>
            </w:pPr>
          </w:p>
        </w:tc>
      </w:tr>
      <w:tr w14:paraId="3D24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5" w:type="dxa"/>
            <w:gridSpan w:val="4"/>
            <w:noWrap w:val="0"/>
            <w:vAlign w:val="top"/>
          </w:tcPr>
          <w:p w14:paraId="192F7C1D">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考核部门</w:t>
            </w:r>
          </w:p>
        </w:tc>
        <w:tc>
          <w:tcPr>
            <w:tcW w:w="6423" w:type="dxa"/>
            <w:gridSpan w:val="5"/>
            <w:noWrap w:val="0"/>
            <w:vAlign w:val="center"/>
          </w:tcPr>
          <w:p w14:paraId="5E3E8CE9">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财务部（5分）</w:t>
            </w:r>
          </w:p>
        </w:tc>
      </w:tr>
      <w:tr w14:paraId="0EAA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top"/>
          </w:tcPr>
          <w:p w14:paraId="30E744EE">
            <w:pPr>
              <w:spacing w:line="300" w:lineRule="exact"/>
              <w:rPr>
                <w:rFonts w:hint="eastAsia" w:ascii="宋体" w:hAnsi="宋体" w:cs="宋体"/>
                <w:sz w:val="28"/>
                <w:szCs w:val="24"/>
                <w:highlight w:val="none"/>
              </w:rPr>
            </w:pPr>
            <w:r>
              <w:rPr>
                <w:rFonts w:hint="eastAsia" w:ascii="宋体" w:hAnsi="宋体" w:cs="宋体"/>
                <w:sz w:val="28"/>
                <w:szCs w:val="24"/>
                <w:highlight w:val="none"/>
              </w:rPr>
              <w:t>考核项目</w:t>
            </w:r>
          </w:p>
        </w:tc>
        <w:tc>
          <w:tcPr>
            <w:tcW w:w="1463" w:type="dxa"/>
            <w:noWrap w:val="0"/>
            <w:vAlign w:val="center"/>
          </w:tcPr>
          <w:p w14:paraId="09FCDA48">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考核内容</w:t>
            </w:r>
          </w:p>
        </w:tc>
        <w:tc>
          <w:tcPr>
            <w:tcW w:w="723" w:type="dxa"/>
            <w:gridSpan w:val="2"/>
            <w:noWrap w:val="0"/>
            <w:vAlign w:val="center"/>
          </w:tcPr>
          <w:p w14:paraId="174D0920">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分值</w:t>
            </w:r>
          </w:p>
        </w:tc>
        <w:tc>
          <w:tcPr>
            <w:tcW w:w="4751" w:type="dxa"/>
            <w:gridSpan w:val="3"/>
            <w:noWrap w:val="0"/>
            <w:vAlign w:val="center"/>
          </w:tcPr>
          <w:p w14:paraId="794712D9">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评分标准</w:t>
            </w:r>
          </w:p>
        </w:tc>
        <w:tc>
          <w:tcPr>
            <w:tcW w:w="582" w:type="dxa"/>
            <w:noWrap w:val="0"/>
            <w:vAlign w:val="center"/>
          </w:tcPr>
          <w:p w14:paraId="0F8413D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得分</w:t>
            </w:r>
          </w:p>
        </w:tc>
        <w:tc>
          <w:tcPr>
            <w:tcW w:w="1090" w:type="dxa"/>
            <w:noWrap w:val="0"/>
            <w:vAlign w:val="center"/>
          </w:tcPr>
          <w:p w14:paraId="590D19DF">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扣分原因</w:t>
            </w:r>
          </w:p>
        </w:tc>
      </w:tr>
      <w:tr w14:paraId="6344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restart"/>
            <w:noWrap w:val="0"/>
            <w:vAlign w:val="center"/>
          </w:tcPr>
          <w:p w14:paraId="271FF993">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资金支付</w:t>
            </w:r>
          </w:p>
        </w:tc>
        <w:tc>
          <w:tcPr>
            <w:tcW w:w="1463" w:type="dxa"/>
            <w:noWrap w:val="0"/>
            <w:vAlign w:val="center"/>
          </w:tcPr>
          <w:p w14:paraId="1A2395EF">
            <w:pPr>
              <w:spacing w:line="300" w:lineRule="exact"/>
              <w:rPr>
                <w:rFonts w:hint="eastAsia" w:ascii="宋体" w:hAnsi="宋体" w:cs="宋体"/>
                <w:sz w:val="28"/>
                <w:szCs w:val="24"/>
                <w:highlight w:val="none"/>
              </w:rPr>
            </w:pPr>
            <w:r>
              <w:rPr>
                <w:rFonts w:hint="eastAsia" w:ascii="宋体" w:hAnsi="宋体" w:cs="宋体"/>
                <w:sz w:val="28"/>
                <w:szCs w:val="24"/>
                <w:highlight w:val="none"/>
              </w:rPr>
              <w:t>资金计划及支付台账</w:t>
            </w:r>
          </w:p>
        </w:tc>
        <w:tc>
          <w:tcPr>
            <w:tcW w:w="723" w:type="dxa"/>
            <w:gridSpan w:val="2"/>
            <w:noWrap w:val="0"/>
            <w:vAlign w:val="center"/>
          </w:tcPr>
          <w:p w14:paraId="27335D8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2</w:t>
            </w:r>
          </w:p>
        </w:tc>
        <w:tc>
          <w:tcPr>
            <w:tcW w:w="4751" w:type="dxa"/>
            <w:gridSpan w:val="3"/>
            <w:noWrap w:val="0"/>
            <w:vAlign w:val="center"/>
          </w:tcPr>
          <w:p w14:paraId="16883030">
            <w:pPr>
              <w:spacing w:line="300" w:lineRule="exact"/>
              <w:rPr>
                <w:rFonts w:hint="eastAsia" w:ascii="宋体" w:hAnsi="宋体" w:cs="宋体"/>
                <w:sz w:val="28"/>
                <w:szCs w:val="24"/>
                <w:highlight w:val="none"/>
              </w:rPr>
            </w:pPr>
            <w:r>
              <w:rPr>
                <w:rFonts w:hint="eastAsia" w:ascii="宋体" w:hAnsi="宋体" w:cs="宋体"/>
                <w:sz w:val="28"/>
                <w:szCs w:val="24"/>
                <w:highlight w:val="none"/>
              </w:rPr>
              <w:t>未建立资金计划及支付台账，扣1分，支付纪录和台账弄虚作假，存在明显错误，扣1分。</w:t>
            </w:r>
          </w:p>
        </w:tc>
        <w:tc>
          <w:tcPr>
            <w:tcW w:w="582" w:type="dxa"/>
            <w:noWrap w:val="0"/>
            <w:vAlign w:val="center"/>
          </w:tcPr>
          <w:p w14:paraId="1FB56141">
            <w:pPr>
              <w:spacing w:line="300" w:lineRule="exact"/>
              <w:jc w:val="center"/>
              <w:rPr>
                <w:rFonts w:hint="eastAsia" w:ascii="宋体" w:hAnsi="宋体" w:cs="宋体"/>
                <w:sz w:val="28"/>
                <w:szCs w:val="24"/>
                <w:highlight w:val="none"/>
              </w:rPr>
            </w:pPr>
          </w:p>
        </w:tc>
        <w:tc>
          <w:tcPr>
            <w:tcW w:w="1090" w:type="dxa"/>
            <w:noWrap w:val="0"/>
            <w:vAlign w:val="center"/>
          </w:tcPr>
          <w:p w14:paraId="2B291594">
            <w:pPr>
              <w:spacing w:line="300" w:lineRule="exact"/>
              <w:jc w:val="center"/>
              <w:rPr>
                <w:rFonts w:hint="eastAsia" w:ascii="宋体" w:hAnsi="宋体" w:cs="宋体"/>
                <w:sz w:val="28"/>
                <w:szCs w:val="24"/>
                <w:highlight w:val="none"/>
              </w:rPr>
            </w:pPr>
          </w:p>
        </w:tc>
      </w:tr>
      <w:tr w14:paraId="5782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noWrap w:val="0"/>
            <w:vAlign w:val="top"/>
          </w:tcPr>
          <w:p w14:paraId="48BA95D6">
            <w:pPr>
              <w:spacing w:line="300" w:lineRule="exact"/>
              <w:rPr>
                <w:rFonts w:hint="eastAsia" w:ascii="宋体" w:hAnsi="宋体" w:cs="宋体"/>
                <w:sz w:val="28"/>
                <w:szCs w:val="24"/>
                <w:highlight w:val="none"/>
              </w:rPr>
            </w:pPr>
          </w:p>
        </w:tc>
        <w:tc>
          <w:tcPr>
            <w:tcW w:w="1463" w:type="dxa"/>
            <w:noWrap w:val="0"/>
            <w:vAlign w:val="center"/>
          </w:tcPr>
          <w:p w14:paraId="23754700">
            <w:pPr>
              <w:spacing w:line="300" w:lineRule="exact"/>
              <w:rPr>
                <w:rFonts w:hint="eastAsia" w:ascii="宋体" w:hAnsi="宋体" w:cs="宋体"/>
                <w:sz w:val="28"/>
                <w:szCs w:val="24"/>
                <w:highlight w:val="none"/>
              </w:rPr>
            </w:pPr>
            <w:r>
              <w:rPr>
                <w:rFonts w:hint="eastAsia" w:ascii="宋体" w:hAnsi="宋体" w:cs="宋体"/>
                <w:sz w:val="28"/>
                <w:szCs w:val="24"/>
                <w:highlight w:val="none"/>
              </w:rPr>
              <w:t>开票，罚款缴纳</w:t>
            </w:r>
          </w:p>
        </w:tc>
        <w:tc>
          <w:tcPr>
            <w:tcW w:w="723" w:type="dxa"/>
            <w:gridSpan w:val="2"/>
            <w:noWrap w:val="0"/>
            <w:vAlign w:val="center"/>
          </w:tcPr>
          <w:p w14:paraId="3C58A51E">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751" w:type="dxa"/>
            <w:gridSpan w:val="3"/>
            <w:noWrap w:val="0"/>
            <w:vAlign w:val="center"/>
          </w:tcPr>
          <w:p w14:paraId="6AD3985B">
            <w:pPr>
              <w:spacing w:line="300" w:lineRule="exact"/>
              <w:rPr>
                <w:rFonts w:hint="eastAsia" w:ascii="宋体" w:hAnsi="宋体" w:cs="宋体"/>
                <w:sz w:val="28"/>
                <w:szCs w:val="24"/>
                <w:highlight w:val="none"/>
              </w:rPr>
            </w:pPr>
            <w:r>
              <w:rPr>
                <w:rFonts w:hint="eastAsia" w:ascii="宋体" w:hAnsi="宋体" w:cs="宋体"/>
                <w:sz w:val="28"/>
                <w:szCs w:val="24"/>
                <w:highlight w:val="none"/>
              </w:rPr>
              <w:t>1.未按合同要求开具发票，扣1分。</w:t>
            </w:r>
            <w:r>
              <w:rPr>
                <w:rFonts w:hint="eastAsia" w:ascii="宋体" w:hAnsi="宋体" w:cs="宋体"/>
                <w:sz w:val="28"/>
                <w:szCs w:val="24"/>
                <w:highlight w:val="none"/>
              </w:rPr>
              <w:br w:type="textWrapping"/>
            </w:r>
            <w:r>
              <w:rPr>
                <w:rFonts w:hint="eastAsia" w:ascii="宋体" w:hAnsi="宋体" w:cs="宋体"/>
                <w:sz w:val="28"/>
                <w:szCs w:val="24"/>
                <w:highlight w:val="none"/>
              </w:rPr>
              <w:t>2.拒绝缴纳罚款，或缴纳不及时，扣2分。</w:t>
            </w:r>
          </w:p>
        </w:tc>
        <w:tc>
          <w:tcPr>
            <w:tcW w:w="582" w:type="dxa"/>
            <w:noWrap w:val="0"/>
            <w:vAlign w:val="center"/>
          </w:tcPr>
          <w:p w14:paraId="3DE14F53">
            <w:pPr>
              <w:spacing w:line="300" w:lineRule="exact"/>
              <w:jc w:val="center"/>
              <w:rPr>
                <w:rFonts w:hint="eastAsia" w:ascii="宋体" w:hAnsi="宋体" w:cs="宋体"/>
                <w:sz w:val="28"/>
                <w:szCs w:val="24"/>
                <w:highlight w:val="none"/>
              </w:rPr>
            </w:pPr>
          </w:p>
        </w:tc>
        <w:tc>
          <w:tcPr>
            <w:tcW w:w="1090" w:type="dxa"/>
            <w:noWrap w:val="0"/>
            <w:vAlign w:val="center"/>
          </w:tcPr>
          <w:p w14:paraId="4E15996F">
            <w:pPr>
              <w:spacing w:line="300" w:lineRule="exact"/>
              <w:jc w:val="center"/>
              <w:rPr>
                <w:rFonts w:hint="eastAsia" w:ascii="宋体" w:hAnsi="宋体" w:cs="宋体"/>
                <w:sz w:val="28"/>
                <w:szCs w:val="24"/>
                <w:highlight w:val="none"/>
              </w:rPr>
            </w:pPr>
          </w:p>
        </w:tc>
      </w:tr>
      <w:tr w14:paraId="256B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gridSpan w:val="2"/>
            <w:noWrap w:val="0"/>
            <w:vAlign w:val="top"/>
          </w:tcPr>
          <w:p w14:paraId="33C0DD58">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7146" w:type="dxa"/>
            <w:gridSpan w:val="7"/>
            <w:noWrap w:val="0"/>
            <w:vAlign w:val="center"/>
          </w:tcPr>
          <w:p w14:paraId="0CE7F74C">
            <w:pPr>
              <w:spacing w:line="300" w:lineRule="exact"/>
              <w:jc w:val="center"/>
              <w:rPr>
                <w:rFonts w:hint="eastAsia" w:ascii="宋体" w:hAnsi="宋体" w:cs="宋体"/>
                <w:sz w:val="28"/>
                <w:szCs w:val="24"/>
                <w:highlight w:val="none"/>
              </w:rPr>
            </w:pPr>
          </w:p>
        </w:tc>
      </w:tr>
      <w:tr w14:paraId="26FF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9"/>
            <w:noWrap w:val="0"/>
            <w:vAlign w:val="top"/>
          </w:tcPr>
          <w:p w14:paraId="4BE3DA8D">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财务部签字：                                 日期：</w:t>
            </w:r>
          </w:p>
        </w:tc>
      </w:tr>
    </w:tbl>
    <w:p w14:paraId="1B7A1BAA">
      <w:pPr>
        <w:pStyle w:val="6"/>
        <w:ind w:firstLine="560"/>
        <w:rPr>
          <w:rFonts w:hint="eastAsia" w:ascii="宋体" w:hAnsi="宋体" w:cs="宋体"/>
          <w:sz w:val="28"/>
          <w:szCs w:val="28"/>
          <w:highlight w:val="none"/>
        </w:rPr>
      </w:pPr>
      <w:r>
        <w:rPr>
          <w:rFonts w:hint="eastAsia" w:ascii="宋体" w:hAnsi="宋体" w:cs="宋体"/>
          <w:sz w:val="28"/>
          <w:szCs w:val="28"/>
          <w:highlight w:val="none"/>
        </w:rPr>
        <w:br w:type="page"/>
      </w:r>
    </w:p>
    <w:tbl>
      <w:tblPr>
        <w:tblStyle w:val="14"/>
        <w:tblW w:w="9492" w:type="dxa"/>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310"/>
        <w:gridCol w:w="14"/>
        <w:gridCol w:w="1159"/>
        <w:gridCol w:w="1200"/>
        <w:gridCol w:w="2373"/>
        <w:gridCol w:w="873"/>
        <w:gridCol w:w="545"/>
        <w:gridCol w:w="955"/>
      </w:tblGrid>
      <w:tr w14:paraId="4AC2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gridSpan w:val="2"/>
            <w:noWrap w:val="0"/>
            <w:vAlign w:val="top"/>
          </w:tcPr>
          <w:p w14:paraId="01040FC0">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监理单位名称</w:t>
            </w:r>
          </w:p>
        </w:tc>
        <w:tc>
          <w:tcPr>
            <w:tcW w:w="2373" w:type="dxa"/>
            <w:gridSpan w:val="3"/>
            <w:noWrap w:val="0"/>
            <w:vAlign w:val="top"/>
          </w:tcPr>
          <w:p w14:paraId="7BD08E21">
            <w:pPr>
              <w:spacing w:line="300" w:lineRule="exact"/>
              <w:jc w:val="center"/>
              <w:rPr>
                <w:rFonts w:hint="eastAsia" w:ascii="宋体" w:hAnsi="宋体" w:cs="宋体"/>
                <w:b/>
                <w:bCs/>
                <w:sz w:val="28"/>
                <w:szCs w:val="24"/>
                <w:highlight w:val="none"/>
              </w:rPr>
            </w:pPr>
          </w:p>
        </w:tc>
        <w:tc>
          <w:tcPr>
            <w:tcW w:w="2373" w:type="dxa"/>
            <w:noWrap w:val="0"/>
            <w:vAlign w:val="top"/>
          </w:tcPr>
          <w:p w14:paraId="1DC8004F">
            <w:pPr>
              <w:spacing w:line="30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项目名称</w:t>
            </w:r>
          </w:p>
        </w:tc>
        <w:tc>
          <w:tcPr>
            <w:tcW w:w="2373" w:type="dxa"/>
            <w:gridSpan w:val="3"/>
            <w:noWrap w:val="0"/>
            <w:vAlign w:val="top"/>
          </w:tcPr>
          <w:p w14:paraId="652ECAD0">
            <w:pPr>
              <w:spacing w:line="300" w:lineRule="exact"/>
              <w:jc w:val="center"/>
              <w:rPr>
                <w:rFonts w:hint="eastAsia" w:ascii="宋体" w:hAnsi="宋体" w:cs="宋体"/>
                <w:b/>
                <w:bCs/>
                <w:sz w:val="28"/>
                <w:szCs w:val="24"/>
                <w:highlight w:val="none"/>
              </w:rPr>
            </w:pPr>
          </w:p>
        </w:tc>
      </w:tr>
      <w:tr w14:paraId="4CCA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6" w:type="dxa"/>
            <w:gridSpan w:val="4"/>
            <w:noWrap w:val="0"/>
            <w:vAlign w:val="top"/>
          </w:tcPr>
          <w:p w14:paraId="6FCC9EC0">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考核部门</w:t>
            </w:r>
          </w:p>
        </w:tc>
        <w:tc>
          <w:tcPr>
            <w:tcW w:w="5946" w:type="dxa"/>
            <w:gridSpan w:val="5"/>
            <w:noWrap w:val="0"/>
            <w:vAlign w:val="center"/>
          </w:tcPr>
          <w:p w14:paraId="1EDCEB15">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建设项目部（15分）</w:t>
            </w:r>
          </w:p>
        </w:tc>
      </w:tr>
      <w:tr w14:paraId="57D4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noWrap w:val="0"/>
            <w:vAlign w:val="center"/>
          </w:tcPr>
          <w:p w14:paraId="07CFDC46">
            <w:pPr>
              <w:kinsoku w:val="0"/>
              <w:overflowPunct w:val="0"/>
              <w:autoSpaceDE w:val="0"/>
              <w:autoSpaceDN w:val="0"/>
              <w:snapToGrid w:val="0"/>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监理人员履职情况</w:t>
            </w:r>
          </w:p>
        </w:tc>
        <w:tc>
          <w:tcPr>
            <w:tcW w:w="1324" w:type="dxa"/>
            <w:gridSpan w:val="2"/>
            <w:noWrap w:val="0"/>
            <w:vAlign w:val="center"/>
          </w:tcPr>
          <w:p w14:paraId="4EBF171F">
            <w:pPr>
              <w:kinsoku w:val="0"/>
              <w:overflowPunct w:val="0"/>
              <w:autoSpaceDE w:val="0"/>
              <w:autoSpaceDN w:val="0"/>
              <w:snapToGrid w:val="0"/>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履职情况</w:t>
            </w:r>
          </w:p>
        </w:tc>
        <w:tc>
          <w:tcPr>
            <w:tcW w:w="1159" w:type="dxa"/>
            <w:noWrap w:val="0"/>
            <w:vAlign w:val="center"/>
          </w:tcPr>
          <w:p w14:paraId="4A30EB5B">
            <w:pPr>
              <w:kinsoku w:val="0"/>
              <w:overflowPunct w:val="0"/>
              <w:autoSpaceDE w:val="0"/>
              <w:autoSpaceDN w:val="0"/>
              <w:snapToGrid w:val="0"/>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5</w:t>
            </w:r>
          </w:p>
        </w:tc>
        <w:tc>
          <w:tcPr>
            <w:tcW w:w="4446" w:type="dxa"/>
            <w:gridSpan w:val="3"/>
            <w:noWrap w:val="0"/>
            <w:vAlign w:val="center"/>
          </w:tcPr>
          <w:p w14:paraId="7AFB7E5A">
            <w:pPr>
              <w:kinsoku w:val="0"/>
              <w:overflowPunct w:val="0"/>
              <w:autoSpaceDE w:val="0"/>
              <w:autoSpaceDN w:val="0"/>
              <w:snapToGrid w:val="0"/>
              <w:spacing w:line="340" w:lineRule="exact"/>
              <w:rPr>
                <w:rFonts w:hint="eastAsia" w:ascii="宋体" w:hAnsi="宋体" w:cs="宋体"/>
                <w:sz w:val="28"/>
                <w:szCs w:val="24"/>
                <w:highlight w:val="none"/>
              </w:rPr>
            </w:pPr>
            <w:r>
              <w:rPr>
                <w:rFonts w:hint="eastAsia" w:ascii="宋体" w:hAnsi="宋体" w:cs="宋体"/>
                <w:sz w:val="28"/>
                <w:szCs w:val="24"/>
                <w:highlight w:val="none"/>
              </w:rPr>
              <w:t>1.总监理工程师及总监代表驻施工现场，每周少于5天，外出办事超过半日（4小时），未征得建设单位现场负责人的同意，未履行请假手续，扣3分。</w:t>
            </w:r>
            <w:r>
              <w:rPr>
                <w:rFonts w:hint="eastAsia" w:ascii="宋体" w:hAnsi="宋体" w:cs="宋体"/>
                <w:sz w:val="28"/>
                <w:szCs w:val="24"/>
                <w:highlight w:val="none"/>
              </w:rPr>
              <w:br w:type="textWrapping"/>
            </w:r>
            <w:r>
              <w:rPr>
                <w:rFonts w:hint="eastAsia" w:ascii="宋体" w:hAnsi="宋体" w:cs="宋体"/>
                <w:sz w:val="28"/>
                <w:szCs w:val="24"/>
                <w:highlight w:val="none"/>
              </w:rPr>
              <w:t>2.监理工程师外出办事超过一日的（8小时）未须征得建设单位现场代表的同意，未履行请假手续，扣2分。</w:t>
            </w:r>
          </w:p>
        </w:tc>
        <w:tc>
          <w:tcPr>
            <w:tcW w:w="545" w:type="dxa"/>
            <w:noWrap w:val="0"/>
            <w:vAlign w:val="center"/>
          </w:tcPr>
          <w:p w14:paraId="417DBB6A">
            <w:pPr>
              <w:kinsoku w:val="0"/>
              <w:overflowPunct w:val="0"/>
              <w:autoSpaceDE w:val="0"/>
              <w:autoSpaceDN w:val="0"/>
              <w:snapToGrid w:val="0"/>
              <w:spacing w:line="340" w:lineRule="exact"/>
              <w:jc w:val="center"/>
              <w:rPr>
                <w:rFonts w:hint="eastAsia" w:ascii="宋体" w:hAnsi="宋体" w:cs="宋体"/>
                <w:sz w:val="28"/>
                <w:szCs w:val="24"/>
                <w:highlight w:val="none"/>
              </w:rPr>
            </w:pPr>
          </w:p>
        </w:tc>
        <w:tc>
          <w:tcPr>
            <w:tcW w:w="955" w:type="dxa"/>
            <w:noWrap w:val="0"/>
            <w:vAlign w:val="center"/>
          </w:tcPr>
          <w:p w14:paraId="73251691">
            <w:pPr>
              <w:kinsoku w:val="0"/>
              <w:overflowPunct w:val="0"/>
              <w:autoSpaceDE w:val="0"/>
              <w:autoSpaceDN w:val="0"/>
              <w:snapToGrid w:val="0"/>
              <w:spacing w:line="340" w:lineRule="exact"/>
              <w:jc w:val="center"/>
              <w:rPr>
                <w:rFonts w:hint="eastAsia" w:ascii="宋体" w:hAnsi="宋体" w:cs="宋体"/>
                <w:sz w:val="28"/>
                <w:szCs w:val="24"/>
                <w:highlight w:val="none"/>
              </w:rPr>
            </w:pPr>
          </w:p>
        </w:tc>
      </w:tr>
      <w:tr w14:paraId="53D7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noWrap w:val="0"/>
            <w:vAlign w:val="center"/>
          </w:tcPr>
          <w:p w14:paraId="687A851F">
            <w:pPr>
              <w:kinsoku w:val="0"/>
              <w:overflowPunct w:val="0"/>
              <w:autoSpaceDE w:val="0"/>
              <w:autoSpaceDN w:val="0"/>
              <w:snapToGrid w:val="0"/>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进度控制20分</w:t>
            </w:r>
            <w:r>
              <w:rPr>
                <w:rFonts w:hint="eastAsia" w:ascii="宋体" w:hAnsi="宋体" w:cs="宋体"/>
                <w:sz w:val="28"/>
                <w:szCs w:val="24"/>
                <w:highlight w:val="none"/>
              </w:rPr>
              <w:br w:type="textWrapping"/>
            </w:r>
            <w:r>
              <w:rPr>
                <w:rFonts w:hint="eastAsia" w:ascii="宋体" w:hAnsi="宋体" w:cs="宋体"/>
                <w:sz w:val="28"/>
                <w:szCs w:val="24"/>
                <w:highlight w:val="none"/>
              </w:rPr>
              <w:t>（建设项目部）</w:t>
            </w:r>
          </w:p>
        </w:tc>
        <w:tc>
          <w:tcPr>
            <w:tcW w:w="1324" w:type="dxa"/>
            <w:gridSpan w:val="2"/>
            <w:vMerge w:val="restart"/>
            <w:noWrap w:val="0"/>
            <w:vAlign w:val="center"/>
          </w:tcPr>
          <w:p w14:paraId="1DE9261A">
            <w:pPr>
              <w:kinsoku w:val="0"/>
              <w:overflowPunct w:val="0"/>
              <w:autoSpaceDE w:val="0"/>
              <w:autoSpaceDN w:val="0"/>
              <w:snapToGrid w:val="0"/>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施工准备</w:t>
            </w:r>
          </w:p>
        </w:tc>
        <w:tc>
          <w:tcPr>
            <w:tcW w:w="1159" w:type="dxa"/>
            <w:vMerge w:val="restart"/>
            <w:noWrap w:val="0"/>
            <w:vAlign w:val="center"/>
          </w:tcPr>
          <w:p w14:paraId="23E06FE4">
            <w:pPr>
              <w:kinsoku w:val="0"/>
              <w:overflowPunct w:val="0"/>
              <w:autoSpaceDE w:val="0"/>
              <w:autoSpaceDN w:val="0"/>
              <w:snapToGrid w:val="0"/>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3</w:t>
            </w:r>
          </w:p>
        </w:tc>
        <w:tc>
          <w:tcPr>
            <w:tcW w:w="4446" w:type="dxa"/>
            <w:gridSpan w:val="3"/>
            <w:vMerge w:val="restart"/>
            <w:noWrap w:val="0"/>
            <w:vAlign w:val="center"/>
          </w:tcPr>
          <w:p w14:paraId="52FB9711">
            <w:pPr>
              <w:kinsoku w:val="0"/>
              <w:overflowPunct w:val="0"/>
              <w:autoSpaceDE w:val="0"/>
              <w:autoSpaceDN w:val="0"/>
              <w:snapToGrid w:val="0"/>
              <w:spacing w:line="340" w:lineRule="exact"/>
              <w:rPr>
                <w:rFonts w:hint="eastAsia" w:ascii="宋体" w:hAnsi="宋体" w:cs="宋体"/>
                <w:sz w:val="28"/>
                <w:szCs w:val="24"/>
                <w:highlight w:val="none"/>
              </w:rPr>
            </w:pPr>
            <w:r>
              <w:rPr>
                <w:rFonts w:hint="eastAsia" w:ascii="宋体" w:hAnsi="宋体" w:cs="宋体"/>
                <w:sz w:val="28"/>
                <w:szCs w:val="24"/>
                <w:highlight w:val="none"/>
              </w:rPr>
              <w:t>未督促委托人按合同规定落实必须提供的施工条件，检查承包人的开工准备情况，按照合同规定及授权，发布工程开工令，扣3分。</w:t>
            </w:r>
          </w:p>
        </w:tc>
        <w:tc>
          <w:tcPr>
            <w:tcW w:w="545" w:type="dxa"/>
            <w:noWrap w:val="0"/>
            <w:vAlign w:val="center"/>
          </w:tcPr>
          <w:p w14:paraId="37034D7C">
            <w:pPr>
              <w:kinsoku w:val="0"/>
              <w:overflowPunct w:val="0"/>
              <w:autoSpaceDE w:val="0"/>
              <w:autoSpaceDN w:val="0"/>
              <w:snapToGrid w:val="0"/>
              <w:spacing w:line="340" w:lineRule="exact"/>
              <w:jc w:val="center"/>
              <w:rPr>
                <w:rFonts w:hint="eastAsia" w:ascii="宋体" w:hAnsi="宋体" w:cs="宋体"/>
                <w:sz w:val="28"/>
                <w:szCs w:val="24"/>
                <w:highlight w:val="none"/>
              </w:rPr>
            </w:pPr>
          </w:p>
        </w:tc>
        <w:tc>
          <w:tcPr>
            <w:tcW w:w="955" w:type="dxa"/>
            <w:noWrap w:val="0"/>
            <w:vAlign w:val="center"/>
          </w:tcPr>
          <w:p w14:paraId="56581519">
            <w:pPr>
              <w:kinsoku w:val="0"/>
              <w:overflowPunct w:val="0"/>
              <w:autoSpaceDE w:val="0"/>
              <w:autoSpaceDN w:val="0"/>
              <w:snapToGrid w:val="0"/>
              <w:spacing w:line="340" w:lineRule="exact"/>
              <w:jc w:val="center"/>
              <w:rPr>
                <w:rFonts w:hint="eastAsia" w:ascii="宋体" w:hAnsi="宋体" w:cs="宋体"/>
                <w:sz w:val="28"/>
                <w:szCs w:val="24"/>
                <w:highlight w:val="none"/>
              </w:rPr>
            </w:pPr>
          </w:p>
        </w:tc>
      </w:tr>
      <w:tr w14:paraId="0D20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noWrap w:val="0"/>
            <w:vAlign w:val="center"/>
          </w:tcPr>
          <w:p w14:paraId="4E2E6901">
            <w:pPr>
              <w:kinsoku w:val="0"/>
              <w:overflowPunct w:val="0"/>
              <w:autoSpaceDE w:val="0"/>
              <w:autoSpaceDN w:val="0"/>
              <w:snapToGrid w:val="0"/>
              <w:spacing w:line="340" w:lineRule="exact"/>
              <w:jc w:val="center"/>
              <w:rPr>
                <w:rFonts w:hint="eastAsia" w:ascii="宋体" w:hAnsi="宋体" w:cs="宋体"/>
                <w:sz w:val="28"/>
                <w:szCs w:val="24"/>
                <w:highlight w:val="none"/>
              </w:rPr>
            </w:pPr>
          </w:p>
        </w:tc>
        <w:tc>
          <w:tcPr>
            <w:tcW w:w="1324" w:type="dxa"/>
            <w:gridSpan w:val="2"/>
            <w:vMerge w:val="continue"/>
            <w:noWrap w:val="0"/>
            <w:vAlign w:val="center"/>
          </w:tcPr>
          <w:p w14:paraId="7646CBCF">
            <w:pPr>
              <w:kinsoku w:val="0"/>
              <w:overflowPunct w:val="0"/>
              <w:autoSpaceDE w:val="0"/>
              <w:autoSpaceDN w:val="0"/>
              <w:snapToGrid w:val="0"/>
              <w:spacing w:line="340" w:lineRule="exact"/>
              <w:rPr>
                <w:rFonts w:hint="eastAsia" w:ascii="宋体" w:hAnsi="宋体" w:cs="宋体"/>
                <w:sz w:val="28"/>
                <w:szCs w:val="24"/>
                <w:highlight w:val="none"/>
              </w:rPr>
            </w:pPr>
          </w:p>
        </w:tc>
        <w:tc>
          <w:tcPr>
            <w:tcW w:w="1159" w:type="dxa"/>
            <w:vMerge w:val="continue"/>
            <w:noWrap w:val="0"/>
            <w:vAlign w:val="center"/>
          </w:tcPr>
          <w:p w14:paraId="46CB12A7">
            <w:pPr>
              <w:kinsoku w:val="0"/>
              <w:overflowPunct w:val="0"/>
              <w:autoSpaceDE w:val="0"/>
              <w:autoSpaceDN w:val="0"/>
              <w:snapToGrid w:val="0"/>
              <w:spacing w:line="340" w:lineRule="exact"/>
              <w:jc w:val="center"/>
              <w:rPr>
                <w:rFonts w:hint="eastAsia" w:ascii="宋体" w:hAnsi="宋体" w:cs="宋体"/>
                <w:sz w:val="28"/>
                <w:szCs w:val="24"/>
                <w:highlight w:val="none"/>
              </w:rPr>
            </w:pPr>
          </w:p>
        </w:tc>
        <w:tc>
          <w:tcPr>
            <w:tcW w:w="4446" w:type="dxa"/>
            <w:gridSpan w:val="3"/>
            <w:vMerge w:val="continue"/>
            <w:noWrap w:val="0"/>
            <w:vAlign w:val="center"/>
          </w:tcPr>
          <w:p w14:paraId="28F3D171">
            <w:pPr>
              <w:kinsoku w:val="0"/>
              <w:overflowPunct w:val="0"/>
              <w:autoSpaceDE w:val="0"/>
              <w:autoSpaceDN w:val="0"/>
              <w:snapToGrid w:val="0"/>
              <w:spacing w:line="340" w:lineRule="exact"/>
              <w:rPr>
                <w:rFonts w:hint="eastAsia" w:ascii="宋体" w:hAnsi="宋体" w:cs="宋体"/>
                <w:sz w:val="28"/>
                <w:szCs w:val="24"/>
                <w:highlight w:val="none"/>
              </w:rPr>
            </w:pPr>
          </w:p>
        </w:tc>
        <w:tc>
          <w:tcPr>
            <w:tcW w:w="545" w:type="dxa"/>
            <w:noWrap w:val="0"/>
            <w:vAlign w:val="center"/>
          </w:tcPr>
          <w:p w14:paraId="1ECB660F">
            <w:pPr>
              <w:kinsoku w:val="0"/>
              <w:overflowPunct w:val="0"/>
              <w:autoSpaceDE w:val="0"/>
              <w:autoSpaceDN w:val="0"/>
              <w:snapToGrid w:val="0"/>
              <w:spacing w:line="340" w:lineRule="exact"/>
              <w:jc w:val="center"/>
              <w:rPr>
                <w:rFonts w:hint="eastAsia" w:ascii="宋体" w:hAnsi="宋体" w:cs="宋体"/>
                <w:sz w:val="28"/>
                <w:szCs w:val="24"/>
                <w:highlight w:val="none"/>
              </w:rPr>
            </w:pPr>
          </w:p>
        </w:tc>
        <w:tc>
          <w:tcPr>
            <w:tcW w:w="955" w:type="dxa"/>
            <w:noWrap w:val="0"/>
            <w:vAlign w:val="center"/>
          </w:tcPr>
          <w:p w14:paraId="6F13F33C">
            <w:pPr>
              <w:kinsoku w:val="0"/>
              <w:overflowPunct w:val="0"/>
              <w:autoSpaceDE w:val="0"/>
              <w:autoSpaceDN w:val="0"/>
              <w:snapToGrid w:val="0"/>
              <w:spacing w:line="340" w:lineRule="exact"/>
              <w:jc w:val="center"/>
              <w:rPr>
                <w:rFonts w:hint="eastAsia" w:ascii="宋体" w:hAnsi="宋体" w:cs="宋体"/>
                <w:sz w:val="28"/>
                <w:szCs w:val="24"/>
                <w:highlight w:val="none"/>
              </w:rPr>
            </w:pPr>
          </w:p>
        </w:tc>
      </w:tr>
      <w:tr w14:paraId="6879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3" w:type="dxa"/>
            <w:vMerge w:val="continue"/>
            <w:noWrap w:val="0"/>
            <w:vAlign w:val="center"/>
          </w:tcPr>
          <w:p w14:paraId="50017285">
            <w:pPr>
              <w:kinsoku w:val="0"/>
              <w:overflowPunct w:val="0"/>
              <w:autoSpaceDE w:val="0"/>
              <w:autoSpaceDN w:val="0"/>
              <w:snapToGrid w:val="0"/>
              <w:spacing w:line="340" w:lineRule="exact"/>
              <w:jc w:val="center"/>
              <w:rPr>
                <w:rFonts w:hint="eastAsia" w:ascii="宋体" w:hAnsi="宋体" w:cs="宋体"/>
                <w:sz w:val="28"/>
                <w:szCs w:val="24"/>
                <w:highlight w:val="none"/>
              </w:rPr>
            </w:pPr>
          </w:p>
        </w:tc>
        <w:tc>
          <w:tcPr>
            <w:tcW w:w="1324" w:type="dxa"/>
            <w:gridSpan w:val="2"/>
            <w:noWrap w:val="0"/>
            <w:vAlign w:val="center"/>
          </w:tcPr>
          <w:p w14:paraId="15EB46DF">
            <w:pPr>
              <w:kinsoku w:val="0"/>
              <w:overflowPunct w:val="0"/>
              <w:autoSpaceDE w:val="0"/>
              <w:autoSpaceDN w:val="0"/>
              <w:snapToGrid w:val="0"/>
              <w:spacing w:line="340" w:lineRule="exact"/>
              <w:jc w:val="center"/>
              <w:rPr>
                <w:rFonts w:hint="eastAsia" w:ascii="宋体" w:hAnsi="宋体" w:cs="宋体"/>
                <w:sz w:val="28"/>
                <w:szCs w:val="24"/>
                <w:highlight w:val="none"/>
              </w:rPr>
            </w:pPr>
            <w:r>
              <w:rPr>
                <w:rFonts w:hint="eastAsia" w:ascii="宋体" w:hAnsi="宋体" w:cs="宋体"/>
                <w:sz w:val="28"/>
                <w:szCs w:val="24"/>
                <w:highlight w:val="none"/>
              </w:rPr>
              <w:t>过程控制</w:t>
            </w:r>
          </w:p>
        </w:tc>
        <w:tc>
          <w:tcPr>
            <w:tcW w:w="1159" w:type="dxa"/>
            <w:noWrap w:val="0"/>
            <w:vAlign w:val="center"/>
          </w:tcPr>
          <w:p w14:paraId="11246440">
            <w:pPr>
              <w:kinsoku w:val="0"/>
              <w:overflowPunct w:val="0"/>
              <w:autoSpaceDE w:val="0"/>
              <w:autoSpaceDN w:val="0"/>
              <w:snapToGrid w:val="0"/>
              <w:spacing w:line="340" w:lineRule="exact"/>
              <w:ind w:left="8120" w:hanging="8120" w:hangingChars="2900"/>
              <w:jc w:val="center"/>
              <w:rPr>
                <w:rFonts w:hint="eastAsia" w:ascii="宋体" w:hAnsi="宋体" w:cs="宋体"/>
                <w:sz w:val="28"/>
                <w:szCs w:val="24"/>
                <w:highlight w:val="none"/>
              </w:rPr>
            </w:pPr>
            <w:r>
              <w:rPr>
                <w:rFonts w:hint="eastAsia" w:ascii="宋体" w:hAnsi="宋体" w:cs="宋体"/>
                <w:sz w:val="28"/>
                <w:szCs w:val="24"/>
                <w:highlight w:val="none"/>
              </w:rPr>
              <w:t>7</w:t>
            </w:r>
          </w:p>
        </w:tc>
        <w:tc>
          <w:tcPr>
            <w:tcW w:w="4446" w:type="dxa"/>
            <w:gridSpan w:val="3"/>
            <w:noWrap w:val="0"/>
            <w:vAlign w:val="center"/>
          </w:tcPr>
          <w:p w14:paraId="360F0EA4">
            <w:pPr>
              <w:spacing w:line="360" w:lineRule="auto"/>
              <w:rPr>
                <w:rFonts w:hint="eastAsia" w:ascii="宋体" w:hAnsi="宋体" w:cs="宋体"/>
                <w:sz w:val="28"/>
                <w:szCs w:val="24"/>
                <w:highlight w:val="none"/>
              </w:rPr>
            </w:pPr>
            <w:r>
              <w:rPr>
                <w:rFonts w:hint="eastAsia" w:ascii="宋体" w:hAnsi="宋体" w:cs="宋体"/>
                <w:sz w:val="28"/>
                <w:szCs w:val="24"/>
                <w:highlight w:val="none"/>
              </w:rPr>
              <w:t>1.未审查和批准承包人提出的施工方案和施工进度计划，并将审查意见及承包人的进度报告报委托人备案，扣3分</w:t>
            </w:r>
          </w:p>
          <w:p w14:paraId="5363408A">
            <w:pPr>
              <w:spacing w:line="360" w:lineRule="auto"/>
              <w:rPr>
                <w:rFonts w:hint="eastAsia" w:ascii="宋体" w:hAnsi="宋体" w:cs="宋体"/>
                <w:sz w:val="28"/>
                <w:szCs w:val="24"/>
                <w:highlight w:val="none"/>
              </w:rPr>
            </w:pPr>
            <w:r>
              <w:rPr>
                <w:rFonts w:hint="eastAsia" w:ascii="宋体" w:hAnsi="宋体" w:cs="宋体"/>
                <w:sz w:val="28"/>
                <w:szCs w:val="24"/>
                <w:highlight w:val="none"/>
              </w:rPr>
              <w:t xml:space="preserve">2.当发生实际进度与计划进度有实质性偏差时，未及时向承包人发出书面指示，促承包人提出补救措施，向委托人提出“进度分析报告”，扣4分。                 </w:t>
            </w:r>
          </w:p>
        </w:tc>
        <w:tc>
          <w:tcPr>
            <w:tcW w:w="545" w:type="dxa"/>
            <w:noWrap w:val="0"/>
            <w:vAlign w:val="center"/>
          </w:tcPr>
          <w:p w14:paraId="0745AE44">
            <w:pPr>
              <w:kinsoku w:val="0"/>
              <w:overflowPunct w:val="0"/>
              <w:autoSpaceDE w:val="0"/>
              <w:autoSpaceDN w:val="0"/>
              <w:snapToGrid w:val="0"/>
              <w:spacing w:line="340" w:lineRule="exact"/>
              <w:jc w:val="center"/>
              <w:rPr>
                <w:rFonts w:hint="eastAsia" w:ascii="宋体" w:hAnsi="宋体" w:cs="宋体"/>
                <w:sz w:val="28"/>
                <w:szCs w:val="24"/>
                <w:highlight w:val="none"/>
              </w:rPr>
            </w:pPr>
          </w:p>
        </w:tc>
        <w:tc>
          <w:tcPr>
            <w:tcW w:w="955" w:type="dxa"/>
            <w:noWrap w:val="0"/>
            <w:vAlign w:val="center"/>
          </w:tcPr>
          <w:p w14:paraId="24DD7A76">
            <w:pPr>
              <w:kinsoku w:val="0"/>
              <w:overflowPunct w:val="0"/>
              <w:autoSpaceDE w:val="0"/>
              <w:autoSpaceDN w:val="0"/>
              <w:snapToGrid w:val="0"/>
              <w:spacing w:line="340" w:lineRule="exact"/>
              <w:jc w:val="center"/>
              <w:rPr>
                <w:rFonts w:hint="eastAsia" w:ascii="宋体" w:hAnsi="宋体" w:cs="宋体"/>
                <w:sz w:val="28"/>
                <w:szCs w:val="24"/>
                <w:highlight w:val="none"/>
              </w:rPr>
            </w:pPr>
          </w:p>
        </w:tc>
      </w:tr>
      <w:tr w14:paraId="7224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7" w:type="dxa"/>
            <w:gridSpan w:val="3"/>
            <w:noWrap w:val="0"/>
            <w:vAlign w:val="top"/>
          </w:tcPr>
          <w:p w14:paraId="39A725BE">
            <w:pPr>
              <w:spacing w:line="300" w:lineRule="exact"/>
              <w:jc w:val="center"/>
              <w:rPr>
                <w:rFonts w:hint="eastAsia" w:ascii="宋体" w:hAnsi="宋体" w:cs="宋体"/>
                <w:sz w:val="28"/>
                <w:szCs w:val="24"/>
                <w:highlight w:val="none"/>
              </w:rPr>
            </w:pPr>
            <w:r>
              <w:rPr>
                <w:rFonts w:hint="eastAsia" w:ascii="宋体" w:hAnsi="宋体" w:cs="宋体"/>
                <w:b/>
                <w:bCs/>
                <w:sz w:val="28"/>
                <w:szCs w:val="24"/>
                <w:highlight w:val="none"/>
              </w:rPr>
              <w:t>得分</w:t>
            </w:r>
          </w:p>
        </w:tc>
        <w:tc>
          <w:tcPr>
            <w:tcW w:w="7105" w:type="dxa"/>
            <w:gridSpan w:val="6"/>
            <w:noWrap w:val="0"/>
            <w:vAlign w:val="center"/>
          </w:tcPr>
          <w:p w14:paraId="3CF1F50D">
            <w:pPr>
              <w:spacing w:line="300" w:lineRule="exact"/>
              <w:jc w:val="center"/>
              <w:rPr>
                <w:rFonts w:hint="eastAsia" w:ascii="宋体" w:hAnsi="宋体" w:cs="宋体"/>
                <w:sz w:val="28"/>
                <w:szCs w:val="24"/>
                <w:highlight w:val="none"/>
              </w:rPr>
            </w:pPr>
          </w:p>
        </w:tc>
      </w:tr>
      <w:tr w14:paraId="2080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2" w:type="dxa"/>
            <w:gridSpan w:val="9"/>
            <w:noWrap w:val="0"/>
            <w:vAlign w:val="center"/>
          </w:tcPr>
          <w:p w14:paraId="3A146A44">
            <w:pPr>
              <w:spacing w:line="300" w:lineRule="exact"/>
              <w:rPr>
                <w:rFonts w:hint="eastAsia" w:ascii="宋体" w:hAnsi="宋体" w:cs="宋体"/>
                <w:sz w:val="28"/>
                <w:szCs w:val="24"/>
                <w:highlight w:val="none"/>
              </w:rPr>
            </w:pPr>
            <w:r>
              <w:rPr>
                <w:rFonts w:hint="eastAsia" w:ascii="宋体" w:hAnsi="宋体" w:cs="宋体"/>
                <w:b/>
                <w:bCs/>
                <w:sz w:val="28"/>
                <w:szCs w:val="24"/>
                <w:highlight w:val="none"/>
              </w:rPr>
              <w:t>建设项目部签字：                                 日期：</w:t>
            </w:r>
          </w:p>
        </w:tc>
      </w:tr>
    </w:tbl>
    <w:p w14:paraId="5FA74FF1">
      <w:pPr>
        <w:spacing w:line="460" w:lineRule="exact"/>
        <w:rPr>
          <w:rFonts w:hint="eastAsia" w:ascii="宋体" w:hAnsi="宋体" w:cs="宋体"/>
          <w:sz w:val="28"/>
          <w:szCs w:val="24"/>
          <w:highlight w:val="none"/>
        </w:rPr>
      </w:pPr>
      <w:r>
        <w:rPr>
          <w:rFonts w:hint="eastAsia" w:ascii="宋体" w:hAnsi="宋体" w:cs="宋体"/>
          <w:sz w:val="28"/>
          <w:szCs w:val="24"/>
          <w:highlight w:val="none"/>
        </w:rPr>
        <w:br w:type="page"/>
      </w:r>
      <w:r>
        <w:rPr>
          <w:rFonts w:hint="eastAsia" w:ascii="宋体" w:hAnsi="宋体" w:cs="宋体"/>
          <w:sz w:val="28"/>
          <w:szCs w:val="24"/>
          <w:highlight w:val="none"/>
        </w:rPr>
        <w:t xml:space="preserve">附件5 </w:t>
      </w:r>
    </w:p>
    <w:p w14:paraId="5C6B8CE0">
      <w:pPr>
        <w:spacing w:line="460" w:lineRule="exact"/>
        <w:jc w:val="center"/>
        <w:rPr>
          <w:rFonts w:hint="eastAsia" w:ascii="宋体" w:hAnsi="宋体" w:cs="宋体"/>
          <w:b/>
          <w:sz w:val="28"/>
          <w:szCs w:val="24"/>
          <w:highlight w:val="none"/>
        </w:rPr>
      </w:pPr>
      <w:r>
        <w:rPr>
          <w:rFonts w:hint="eastAsia" w:ascii="宋体" w:hAnsi="宋体" w:cs="宋体"/>
          <w:b/>
          <w:sz w:val="28"/>
          <w:szCs w:val="24"/>
          <w:highlight w:val="none"/>
          <w:u w:val="single"/>
        </w:rPr>
        <w:t>**********</w:t>
      </w:r>
      <w:r>
        <w:rPr>
          <w:rFonts w:hint="eastAsia" w:ascii="宋体" w:hAnsi="宋体" w:cs="宋体"/>
          <w:b/>
          <w:sz w:val="28"/>
          <w:szCs w:val="24"/>
          <w:highlight w:val="none"/>
        </w:rPr>
        <w:t>工程整改单</w:t>
      </w:r>
    </w:p>
    <w:tbl>
      <w:tblPr>
        <w:tblStyle w:val="14"/>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3327"/>
        <w:gridCol w:w="1417"/>
        <w:gridCol w:w="2845"/>
      </w:tblGrid>
      <w:tr w14:paraId="6C0C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370" w:type="dxa"/>
            <w:noWrap w:val="0"/>
            <w:vAlign w:val="center"/>
          </w:tcPr>
          <w:p w14:paraId="40711976">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工程名称</w:t>
            </w:r>
          </w:p>
        </w:tc>
        <w:tc>
          <w:tcPr>
            <w:tcW w:w="3327" w:type="dxa"/>
            <w:noWrap w:val="0"/>
            <w:vAlign w:val="center"/>
          </w:tcPr>
          <w:p w14:paraId="202849FD">
            <w:pPr>
              <w:spacing w:line="300" w:lineRule="exact"/>
              <w:jc w:val="center"/>
              <w:rPr>
                <w:rFonts w:hint="eastAsia" w:ascii="宋体" w:hAnsi="宋体" w:cs="宋体"/>
                <w:sz w:val="28"/>
                <w:szCs w:val="24"/>
                <w:highlight w:val="none"/>
              </w:rPr>
            </w:pPr>
          </w:p>
        </w:tc>
        <w:tc>
          <w:tcPr>
            <w:tcW w:w="1417" w:type="dxa"/>
            <w:noWrap w:val="0"/>
            <w:vAlign w:val="center"/>
          </w:tcPr>
          <w:p w14:paraId="11586E19">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施工单位</w:t>
            </w:r>
          </w:p>
        </w:tc>
        <w:tc>
          <w:tcPr>
            <w:tcW w:w="2845" w:type="dxa"/>
            <w:noWrap w:val="0"/>
            <w:vAlign w:val="top"/>
          </w:tcPr>
          <w:p w14:paraId="4F0F0147">
            <w:pPr>
              <w:spacing w:line="300" w:lineRule="exact"/>
              <w:rPr>
                <w:rFonts w:hint="eastAsia" w:ascii="宋体" w:hAnsi="宋体" w:cs="宋体"/>
                <w:sz w:val="28"/>
                <w:szCs w:val="24"/>
                <w:highlight w:val="none"/>
              </w:rPr>
            </w:pPr>
          </w:p>
        </w:tc>
      </w:tr>
      <w:tr w14:paraId="41C9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370" w:type="dxa"/>
            <w:noWrap w:val="0"/>
            <w:vAlign w:val="center"/>
          </w:tcPr>
          <w:p w14:paraId="24CD61FB">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工程规模</w:t>
            </w:r>
          </w:p>
        </w:tc>
        <w:tc>
          <w:tcPr>
            <w:tcW w:w="3327" w:type="dxa"/>
            <w:noWrap w:val="0"/>
            <w:vAlign w:val="center"/>
          </w:tcPr>
          <w:p w14:paraId="0284E786">
            <w:pPr>
              <w:spacing w:line="300" w:lineRule="exact"/>
              <w:jc w:val="center"/>
              <w:rPr>
                <w:rFonts w:hint="eastAsia" w:ascii="宋体" w:hAnsi="宋体" w:cs="宋体"/>
                <w:sz w:val="28"/>
                <w:szCs w:val="24"/>
                <w:highlight w:val="none"/>
              </w:rPr>
            </w:pPr>
          </w:p>
        </w:tc>
        <w:tc>
          <w:tcPr>
            <w:tcW w:w="1417" w:type="dxa"/>
            <w:noWrap w:val="0"/>
            <w:vAlign w:val="center"/>
          </w:tcPr>
          <w:p w14:paraId="22F46EF0">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验收日期</w:t>
            </w:r>
          </w:p>
        </w:tc>
        <w:tc>
          <w:tcPr>
            <w:tcW w:w="2845" w:type="dxa"/>
            <w:noWrap w:val="0"/>
            <w:vAlign w:val="top"/>
          </w:tcPr>
          <w:p w14:paraId="0D8A99FA">
            <w:pPr>
              <w:spacing w:line="300" w:lineRule="exact"/>
              <w:rPr>
                <w:rFonts w:hint="eastAsia" w:ascii="宋体" w:hAnsi="宋体" w:cs="宋体"/>
                <w:sz w:val="28"/>
                <w:szCs w:val="24"/>
                <w:highlight w:val="none"/>
              </w:rPr>
            </w:pPr>
          </w:p>
        </w:tc>
      </w:tr>
      <w:tr w14:paraId="6875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6" w:hRule="atLeast"/>
        </w:trPr>
        <w:tc>
          <w:tcPr>
            <w:tcW w:w="1370" w:type="dxa"/>
            <w:noWrap w:val="0"/>
            <w:vAlign w:val="center"/>
          </w:tcPr>
          <w:p w14:paraId="44B7A45A">
            <w:pPr>
              <w:spacing w:line="300" w:lineRule="exact"/>
              <w:rPr>
                <w:rFonts w:hint="eastAsia" w:ascii="宋体" w:hAnsi="宋体" w:cs="宋体"/>
                <w:sz w:val="28"/>
                <w:szCs w:val="24"/>
                <w:highlight w:val="none"/>
              </w:rPr>
            </w:pPr>
            <w:r>
              <w:rPr>
                <w:rFonts w:hint="eastAsia" w:ascii="宋体" w:hAnsi="宋体" w:cs="宋体"/>
                <w:sz w:val="28"/>
                <w:szCs w:val="24"/>
                <w:highlight w:val="none"/>
              </w:rPr>
              <w:t>整改内容</w:t>
            </w:r>
          </w:p>
        </w:tc>
        <w:tc>
          <w:tcPr>
            <w:tcW w:w="7589" w:type="dxa"/>
            <w:gridSpan w:val="3"/>
            <w:noWrap w:val="0"/>
            <w:vAlign w:val="top"/>
          </w:tcPr>
          <w:p w14:paraId="5F2BDA62">
            <w:pPr>
              <w:spacing w:line="300" w:lineRule="exact"/>
              <w:rPr>
                <w:rFonts w:hint="eastAsia" w:ascii="宋体" w:hAnsi="宋体" w:cs="宋体"/>
                <w:sz w:val="28"/>
                <w:szCs w:val="24"/>
                <w:highlight w:val="none"/>
              </w:rPr>
            </w:pPr>
          </w:p>
          <w:p w14:paraId="726D3FAB">
            <w:pPr>
              <w:spacing w:line="300" w:lineRule="exact"/>
              <w:rPr>
                <w:rFonts w:hint="eastAsia" w:ascii="宋体" w:hAnsi="宋体" w:cs="宋体"/>
                <w:sz w:val="28"/>
                <w:szCs w:val="24"/>
                <w:highlight w:val="none"/>
              </w:rPr>
            </w:pPr>
          </w:p>
          <w:p w14:paraId="606733BF">
            <w:pPr>
              <w:spacing w:line="300" w:lineRule="exact"/>
              <w:rPr>
                <w:rFonts w:hint="eastAsia" w:ascii="宋体" w:hAnsi="宋体" w:cs="宋体"/>
                <w:sz w:val="28"/>
                <w:szCs w:val="24"/>
                <w:highlight w:val="none"/>
              </w:rPr>
            </w:pPr>
          </w:p>
          <w:p w14:paraId="59A0ED4A">
            <w:pPr>
              <w:spacing w:line="300" w:lineRule="exact"/>
              <w:rPr>
                <w:rFonts w:hint="eastAsia" w:ascii="宋体" w:hAnsi="宋体" w:cs="宋体"/>
                <w:sz w:val="28"/>
                <w:szCs w:val="24"/>
                <w:highlight w:val="none"/>
              </w:rPr>
            </w:pPr>
          </w:p>
          <w:p w14:paraId="28452C8A">
            <w:pPr>
              <w:spacing w:line="300" w:lineRule="exact"/>
              <w:rPr>
                <w:rFonts w:hint="eastAsia" w:ascii="宋体" w:hAnsi="宋体" w:cs="宋体"/>
                <w:sz w:val="28"/>
                <w:szCs w:val="24"/>
                <w:highlight w:val="none"/>
              </w:rPr>
            </w:pPr>
          </w:p>
          <w:p w14:paraId="58CD0EE2">
            <w:pPr>
              <w:spacing w:line="300" w:lineRule="exact"/>
              <w:rPr>
                <w:rFonts w:hint="eastAsia" w:ascii="宋体" w:hAnsi="宋体" w:cs="宋体"/>
                <w:sz w:val="28"/>
                <w:szCs w:val="24"/>
                <w:highlight w:val="none"/>
              </w:rPr>
            </w:pPr>
          </w:p>
          <w:p w14:paraId="0DDF070A">
            <w:pPr>
              <w:spacing w:line="300" w:lineRule="exact"/>
              <w:rPr>
                <w:rFonts w:hint="eastAsia" w:ascii="宋体" w:hAnsi="宋体" w:cs="宋体"/>
                <w:sz w:val="28"/>
                <w:szCs w:val="24"/>
                <w:highlight w:val="none"/>
              </w:rPr>
            </w:pPr>
          </w:p>
          <w:p w14:paraId="38BEBCBD">
            <w:pPr>
              <w:spacing w:line="300" w:lineRule="exact"/>
              <w:rPr>
                <w:rFonts w:hint="eastAsia" w:ascii="宋体" w:hAnsi="宋体" w:cs="宋体"/>
                <w:sz w:val="28"/>
                <w:szCs w:val="24"/>
                <w:highlight w:val="none"/>
              </w:rPr>
            </w:pPr>
          </w:p>
        </w:tc>
      </w:tr>
      <w:tr w14:paraId="120C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8959" w:type="dxa"/>
            <w:gridSpan w:val="4"/>
            <w:noWrap w:val="0"/>
            <w:vAlign w:val="top"/>
          </w:tcPr>
          <w:p w14:paraId="3195E7D9">
            <w:pPr>
              <w:spacing w:line="300" w:lineRule="exact"/>
              <w:rPr>
                <w:rFonts w:hint="eastAsia" w:ascii="宋体" w:hAnsi="宋体" w:cs="宋体"/>
                <w:sz w:val="28"/>
                <w:szCs w:val="24"/>
                <w:highlight w:val="none"/>
              </w:rPr>
            </w:pPr>
            <w:r>
              <w:rPr>
                <w:rFonts w:hint="eastAsia" w:ascii="宋体" w:hAnsi="宋体" w:cs="宋体"/>
                <w:sz w:val="28"/>
                <w:szCs w:val="24"/>
                <w:highlight w:val="none"/>
              </w:rPr>
              <w:t>考核小组会签：</w:t>
            </w:r>
          </w:p>
          <w:p w14:paraId="21C80554">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0A1CA5F8">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年   月   日    </w:t>
            </w:r>
          </w:p>
        </w:tc>
      </w:tr>
      <w:tr w14:paraId="63DB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8959" w:type="dxa"/>
            <w:gridSpan w:val="4"/>
            <w:noWrap w:val="0"/>
            <w:vAlign w:val="top"/>
          </w:tcPr>
          <w:p w14:paraId="7379E5BB">
            <w:pPr>
              <w:spacing w:line="300" w:lineRule="exact"/>
              <w:rPr>
                <w:rFonts w:hint="eastAsia" w:ascii="宋体" w:hAnsi="宋体" w:cs="宋体"/>
                <w:sz w:val="28"/>
                <w:szCs w:val="24"/>
                <w:highlight w:val="none"/>
              </w:rPr>
            </w:pPr>
            <w:r>
              <w:rPr>
                <w:rFonts w:hint="eastAsia" w:ascii="宋体" w:hAnsi="宋体" w:cs="宋体"/>
                <w:sz w:val="28"/>
                <w:szCs w:val="24"/>
                <w:highlight w:val="none"/>
              </w:rPr>
              <w:t>整改回复：</w:t>
            </w:r>
          </w:p>
          <w:p w14:paraId="6B012048">
            <w:pPr>
              <w:pStyle w:val="6"/>
              <w:ind w:firstLine="560"/>
              <w:rPr>
                <w:rFonts w:hint="eastAsia" w:ascii="宋体" w:hAnsi="宋体" w:cs="宋体"/>
                <w:sz w:val="28"/>
                <w:szCs w:val="28"/>
                <w:highlight w:val="none"/>
              </w:rPr>
            </w:pPr>
          </w:p>
          <w:p w14:paraId="468D7284">
            <w:pPr>
              <w:spacing w:line="300" w:lineRule="exact"/>
              <w:rPr>
                <w:rFonts w:hint="eastAsia" w:ascii="宋体" w:hAnsi="宋体" w:cs="宋体"/>
                <w:sz w:val="28"/>
                <w:szCs w:val="24"/>
                <w:highlight w:val="none"/>
              </w:rPr>
            </w:pPr>
          </w:p>
          <w:p w14:paraId="6083FE7C">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施工单位/监理单位：                                建设项目部负责人：    </w:t>
            </w:r>
          </w:p>
        </w:tc>
      </w:tr>
    </w:tbl>
    <w:p w14:paraId="63EEF265">
      <w:pPr>
        <w:pStyle w:val="6"/>
        <w:ind w:firstLine="560"/>
        <w:rPr>
          <w:rFonts w:hint="eastAsia" w:ascii="宋体" w:hAnsi="宋体" w:cs="宋体"/>
          <w:sz w:val="28"/>
          <w:szCs w:val="28"/>
          <w:highlight w:val="none"/>
        </w:rPr>
      </w:pPr>
    </w:p>
    <w:p w14:paraId="00A095DC">
      <w:pPr>
        <w:spacing w:line="460" w:lineRule="exact"/>
        <w:rPr>
          <w:rFonts w:hint="eastAsia" w:ascii="宋体" w:hAnsi="宋体" w:cs="宋体"/>
          <w:sz w:val="28"/>
          <w:szCs w:val="24"/>
          <w:highlight w:val="none"/>
        </w:rPr>
      </w:pPr>
      <w:r>
        <w:rPr>
          <w:rFonts w:hint="eastAsia" w:ascii="宋体" w:hAnsi="宋体" w:cs="宋体"/>
          <w:sz w:val="28"/>
          <w:szCs w:val="24"/>
          <w:highlight w:val="none"/>
        </w:rPr>
        <w:br w:type="page"/>
      </w:r>
      <w:r>
        <w:rPr>
          <w:rFonts w:hint="eastAsia" w:ascii="宋体" w:hAnsi="宋体" w:cs="宋体"/>
          <w:sz w:val="28"/>
          <w:szCs w:val="24"/>
          <w:highlight w:val="none"/>
        </w:rPr>
        <w:t xml:space="preserve">附件6 </w:t>
      </w:r>
    </w:p>
    <w:p w14:paraId="0AF3BE9D">
      <w:pPr>
        <w:spacing w:line="460" w:lineRule="exact"/>
        <w:jc w:val="center"/>
        <w:rPr>
          <w:rFonts w:hint="eastAsia" w:ascii="宋体" w:hAnsi="宋体" w:cs="宋体"/>
          <w:b/>
          <w:sz w:val="28"/>
          <w:szCs w:val="24"/>
          <w:highlight w:val="none"/>
        </w:rPr>
      </w:pPr>
      <w:r>
        <w:rPr>
          <w:rFonts w:hint="eastAsia" w:ascii="宋体" w:hAnsi="宋体" w:cs="宋体"/>
          <w:b/>
          <w:sz w:val="28"/>
          <w:szCs w:val="24"/>
          <w:highlight w:val="none"/>
        </w:rPr>
        <w:t>施工单位考核评定表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256"/>
        <w:gridCol w:w="524"/>
        <w:gridCol w:w="2474"/>
        <w:gridCol w:w="71"/>
        <w:gridCol w:w="1410"/>
        <w:gridCol w:w="774"/>
        <w:gridCol w:w="2244"/>
      </w:tblGrid>
      <w:tr w14:paraId="3A21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90" w:type="dxa"/>
            <w:gridSpan w:val="2"/>
            <w:noWrap w:val="0"/>
            <w:vAlign w:val="center"/>
          </w:tcPr>
          <w:p w14:paraId="2DC33E02">
            <w:pPr>
              <w:spacing w:line="300" w:lineRule="exact"/>
              <w:rPr>
                <w:rFonts w:hint="eastAsia" w:ascii="宋体" w:hAnsi="宋体" w:cs="宋体"/>
                <w:sz w:val="28"/>
                <w:szCs w:val="24"/>
                <w:highlight w:val="none"/>
              </w:rPr>
            </w:pPr>
            <w:r>
              <w:rPr>
                <w:rFonts w:hint="eastAsia" w:ascii="宋体" w:hAnsi="宋体" w:cs="宋体"/>
                <w:sz w:val="28"/>
                <w:szCs w:val="24"/>
                <w:highlight w:val="none"/>
              </w:rPr>
              <w:t>工程项目名称</w:t>
            </w:r>
          </w:p>
        </w:tc>
        <w:tc>
          <w:tcPr>
            <w:tcW w:w="7497" w:type="dxa"/>
            <w:gridSpan w:val="6"/>
            <w:noWrap w:val="0"/>
            <w:vAlign w:val="center"/>
          </w:tcPr>
          <w:p w14:paraId="2A5D272B">
            <w:pPr>
              <w:spacing w:line="300" w:lineRule="exact"/>
              <w:rPr>
                <w:rFonts w:hint="eastAsia" w:ascii="宋体" w:hAnsi="宋体" w:cs="宋体"/>
                <w:sz w:val="28"/>
                <w:szCs w:val="24"/>
                <w:highlight w:val="none"/>
              </w:rPr>
            </w:pPr>
          </w:p>
        </w:tc>
      </w:tr>
      <w:tr w14:paraId="667F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790" w:type="dxa"/>
            <w:gridSpan w:val="2"/>
            <w:noWrap w:val="0"/>
            <w:vAlign w:val="center"/>
          </w:tcPr>
          <w:p w14:paraId="02856CA0">
            <w:pPr>
              <w:spacing w:line="300" w:lineRule="exact"/>
              <w:rPr>
                <w:rFonts w:hint="eastAsia" w:ascii="宋体" w:hAnsi="宋体" w:cs="宋体"/>
                <w:sz w:val="28"/>
                <w:szCs w:val="24"/>
                <w:highlight w:val="none"/>
              </w:rPr>
            </w:pPr>
            <w:r>
              <w:rPr>
                <w:rFonts w:hint="eastAsia" w:ascii="宋体" w:hAnsi="宋体" w:cs="宋体"/>
                <w:sz w:val="28"/>
                <w:szCs w:val="24"/>
                <w:highlight w:val="none"/>
              </w:rPr>
              <w:t>施工单位名称</w:t>
            </w:r>
          </w:p>
        </w:tc>
        <w:tc>
          <w:tcPr>
            <w:tcW w:w="3069" w:type="dxa"/>
            <w:gridSpan w:val="3"/>
            <w:noWrap w:val="0"/>
            <w:vAlign w:val="center"/>
          </w:tcPr>
          <w:p w14:paraId="0FFCE80E">
            <w:pPr>
              <w:spacing w:line="300" w:lineRule="exact"/>
              <w:rPr>
                <w:rFonts w:hint="eastAsia" w:ascii="宋体" w:hAnsi="宋体" w:cs="宋体"/>
                <w:sz w:val="28"/>
                <w:szCs w:val="24"/>
                <w:highlight w:val="none"/>
              </w:rPr>
            </w:pPr>
          </w:p>
        </w:tc>
        <w:tc>
          <w:tcPr>
            <w:tcW w:w="1410" w:type="dxa"/>
            <w:noWrap w:val="0"/>
            <w:vAlign w:val="center"/>
          </w:tcPr>
          <w:p w14:paraId="02A757E3">
            <w:pPr>
              <w:spacing w:line="300" w:lineRule="exact"/>
              <w:rPr>
                <w:rFonts w:hint="eastAsia" w:ascii="宋体" w:hAnsi="宋体" w:cs="宋体"/>
                <w:sz w:val="28"/>
                <w:szCs w:val="24"/>
                <w:highlight w:val="none"/>
              </w:rPr>
            </w:pPr>
            <w:r>
              <w:rPr>
                <w:rFonts w:hint="eastAsia" w:ascii="宋体" w:hAnsi="宋体" w:cs="宋体"/>
                <w:sz w:val="28"/>
                <w:szCs w:val="24"/>
                <w:highlight w:val="none"/>
              </w:rPr>
              <w:t>考核得分</w:t>
            </w:r>
          </w:p>
        </w:tc>
        <w:tc>
          <w:tcPr>
            <w:tcW w:w="3018" w:type="dxa"/>
            <w:gridSpan w:val="2"/>
            <w:noWrap w:val="0"/>
            <w:vAlign w:val="center"/>
          </w:tcPr>
          <w:p w14:paraId="6028FEE6">
            <w:pPr>
              <w:spacing w:line="300" w:lineRule="exact"/>
              <w:rPr>
                <w:rFonts w:hint="eastAsia" w:ascii="宋体" w:hAnsi="宋体" w:cs="宋体"/>
                <w:sz w:val="28"/>
                <w:szCs w:val="24"/>
                <w:highlight w:val="none"/>
              </w:rPr>
            </w:pPr>
          </w:p>
        </w:tc>
      </w:tr>
      <w:tr w14:paraId="2FAA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9287" w:type="dxa"/>
            <w:gridSpan w:val="8"/>
            <w:noWrap w:val="0"/>
            <w:vAlign w:val="top"/>
          </w:tcPr>
          <w:p w14:paraId="7A6FBEF7">
            <w:pPr>
              <w:spacing w:line="300" w:lineRule="exact"/>
              <w:rPr>
                <w:rFonts w:hint="eastAsia" w:ascii="宋体" w:hAnsi="宋体" w:cs="宋体"/>
                <w:sz w:val="28"/>
                <w:szCs w:val="24"/>
                <w:highlight w:val="none"/>
              </w:rPr>
            </w:pPr>
            <w:r>
              <w:rPr>
                <w:rFonts w:hint="eastAsia" w:ascii="宋体" w:hAnsi="宋体" w:cs="宋体"/>
                <w:sz w:val="28"/>
                <w:szCs w:val="24"/>
                <w:highlight w:val="none"/>
              </w:rPr>
              <w:t>考核结果处理意见：</w:t>
            </w:r>
          </w:p>
        </w:tc>
      </w:tr>
      <w:tr w14:paraId="0781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534" w:type="dxa"/>
            <w:vMerge w:val="restart"/>
            <w:noWrap w:val="0"/>
            <w:vAlign w:val="center"/>
          </w:tcPr>
          <w:p w14:paraId="7AA36964">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考</w:t>
            </w:r>
          </w:p>
          <w:p w14:paraId="5FE18441">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核</w:t>
            </w:r>
          </w:p>
          <w:p w14:paraId="67877CCD">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组</w:t>
            </w:r>
          </w:p>
        </w:tc>
        <w:tc>
          <w:tcPr>
            <w:tcW w:w="1780" w:type="dxa"/>
            <w:gridSpan w:val="2"/>
            <w:noWrap w:val="0"/>
            <w:vAlign w:val="top"/>
          </w:tcPr>
          <w:p w14:paraId="32837349">
            <w:pPr>
              <w:spacing w:line="300" w:lineRule="exact"/>
              <w:rPr>
                <w:rFonts w:hint="eastAsia" w:ascii="宋体" w:hAnsi="宋体" w:cs="宋体"/>
                <w:sz w:val="28"/>
                <w:szCs w:val="24"/>
                <w:highlight w:val="none"/>
              </w:rPr>
            </w:pPr>
            <w:r>
              <w:rPr>
                <w:rFonts w:hint="eastAsia" w:ascii="宋体" w:hAnsi="宋体" w:cs="宋体"/>
                <w:sz w:val="28"/>
                <w:szCs w:val="24"/>
                <w:highlight w:val="none"/>
              </w:rPr>
              <w:t>工程管理部</w:t>
            </w:r>
          </w:p>
          <w:p w14:paraId="56C41CF7">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2B78B556">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474" w:type="dxa"/>
            <w:noWrap w:val="0"/>
            <w:vAlign w:val="center"/>
          </w:tcPr>
          <w:p w14:paraId="3D07E02B">
            <w:pPr>
              <w:spacing w:line="300" w:lineRule="exact"/>
              <w:rPr>
                <w:rFonts w:hint="eastAsia" w:ascii="宋体" w:hAnsi="宋体" w:cs="宋体"/>
                <w:sz w:val="28"/>
                <w:szCs w:val="24"/>
                <w:highlight w:val="none"/>
              </w:rPr>
            </w:pPr>
            <w:r>
              <w:rPr>
                <w:rFonts w:hint="eastAsia" w:ascii="宋体" w:hAnsi="宋体" w:cs="宋体"/>
                <w:sz w:val="28"/>
                <w:szCs w:val="24"/>
                <w:highlight w:val="none"/>
              </w:rPr>
              <w:t>安全质量中心</w:t>
            </w:r>
          </w:p>
          <w:p w14:paraId="401DE8AF">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61A0720F">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255" w:type="dxa"/>
            <w:gridSpan w:val="3"/>
            <w:noWrap w:val="0"/>
            <w:vAlign w:val="center"/>
          </w:tcPr>
          <w:p w14:paraId="7D49D36E">
            <w:pPr>
              <w:spacing w:line="300" w:lineRule="exact"/>
              <w:rPr>
                <w:rFonts w:hint="eastAsia" w:ascii="宋体" w:hAnsi="宋体" w:cs="宋体"/>
                <w:sz w:val="28"/>
                <w:szCs w:val="24"/>
                <w:highlight w:val="none"/>
              </w:rPr>
            </w:pPr>
            <w:r>
              <w:rPr>
                <w:rFonts w:hint="eastAsia" w:ascii="宋体" w:hAnsi="宋体" w:cs="宋体"/>
                <w:sz w:val="28"/>
                <w:szCs w:val="24"/>
                <w:highlight w:val="none"/>
              </w:rPr>
              <w:t>技术部</w:t>
            </w:r>
          </w:p>
          <w:p w14:paraId="3E6AAE10">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7BC80494">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244" w:type="dxa"/>
            <w:noWrap w:val="0"/>
            <w:vAlign w:val="center"/>
          </w:tcPr>
          <w:p w14:paraId="1BF09B61">
            <w:pPr>
              <w:spacing w:line="300" w:lineRule="exact"/>
              <w:rPr>
                <w:rFonts w:hint="eastAsia" w:ascii="宋体" w:hAnsi="宋体" w:cs="宋体"/>
                <w:sz w:val="28"/>
                <w:szCs w:val="24"/>
                <w:highlight w:val="none"/>
              </w:rPr>
            </w:pPr>
            <w:r>
              <w:rPr>
                <w:rFonts w:hint="eastAsia" w:ascii="宋体" w:hAnsi="宋体" w:cs="宋体"/>
                <w:sz w:val="28"/>
                <w:szCs w:val="24"/>
                <w:highlight w:val="none"/>
              </w:rPr>
              <w:t>合同预算部</w:t>
            </w:r>
          </w:p>
          <w:p w14:paraId="45A6BE57">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128E6649">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 xml:space="preserve"> 年    月    日</w:t>
            </w:r>
          </w:p>
        </w:tc>
      </w:tr>
      <w:tr w14:paraId="0D4E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534" w:type="dxa"/>
            <w:vMerge w:val="continue"/>
            <w:noWrap w:val="0"/>
            <w:vAlign w:val="top"/>
          </w:tcPr>
          <w:p w14:paraId="17E1F5D3">
            <w:pPr>
              <w:spacing w:line="300" w:lineRule="exact"/>
              <w:rPr>
                <w:rFonts w:hint="eastAsia" w:ascii="宋体" w:hAnsi="宋体" w:cs="宋体"/>
                <w:sz w:val="28"/>
                <w:szCs w:val="24"/>
                <w:highlight w:val="none"/>
              </w:rPr>
            </w:pPr>
          </w:p>
        </w:tc>
        <w:tc>
          <w:tcPr>
            <w:tcW w:w="1780" w:type="dxa"/>
            <w:gridSpan w:val="2"/>
            <w:noWrap w:val="0"/>
            <w:vAlign w:val="top"/>
          </w:tcPr>
          <w:p w14:paraId="58457051">
            <w:pPr>
              <w:spacing w:line="300" w:lineRule="exact"/>
              <w:rPr>
                <w:rFonts w:hint="eastAsia" w:ascii="宋体" w:hAnsi="宋体" w:cs="宋体"/>
                <w:sz w:val="28"/>
                <w:szCs w:val="24"/>
                <w:highlight w:val="none"/>
              </w:rPr>
            </w:pPr>
            <w:r>
              <w:rPr>
                <w:rFonts w:hint="eastAsia" w:ascii="宋体" w:hAnsi="宋体" w:cs="宋体"/>
                <w:sz w:val="28"/>
                <w:szCs w:val="24"/>
                <w:highlight w:val="none"/>
              </w:rPr>
              <w:t>建设项目部</w:t>
            </w:r>
          </w:p>
          <w:p w14:paraId="1D3A90AD">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27810609">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474" w:type="dxa"/>
            <w:noWrap w:val="0"/>
            <w:vAlign w:val="top"/>
          </w:tcPr>
          <w:p w14:paraId="382DF28A">
            <w:pPr>
              <w:spacing w:line="300" w:lineRule="exact"/>
              <w:rPr>
                <w:rFonts w:hint="eastAsia" w:ascii="宋体" w:hAnsi="宋体" w:cs="宋体"/>
                <w:sz w:val="28"/>
                <w:szCs w:val="24"/>
                <w:highlight w:val="none"/>
              </w:rPr>
            </w:pPr>
            <w:r>
              <w:rPr>
                <w:rFonts w:hint="eastAsia" w:ascii="宋体" w:hAnsi="宋体" w:cs="宋体"/>
                <w:sz w:val="28"/>
                <w:szCs w:val="24"/>
                <w:highlight w:val="none"/>
              </w:rPr>
              <w:t>财务部</w:t>
            </w:r>
          </w:p>
          <w:p w14:paraId="3FE9A249">
            <w:pPr>
              <w:spacing w:line="300" w:lineRule="exact"/>
              <w:rPr>
                <w:rFonts w:hint="eastAsia" w:ascii="宋体" w:hAnsi="宋体" w:cs="宋体"/>
                <w:sz w:val="28"/>
                <w:szCs w:val="24"/>
                <w:highlight w:val="none"/>
              </w:rPr>
            </w:pPr>
          </w:p>
          <w:p w14:paraId="2E611A4E">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255" w:type="dxa"/>
            <w:gridSpan w:val="3"/>
            <w:noWrap w:val="0"/>
            <w:vAlign w:val="top"/>
          </w:tcPr>
          <w:p w14:paraId="1841DA4E">
            <w:pPr>
              <w:spacing w:line="300" w:lineRule="exact"/>
              <w:rPr>
                <w:rFonts w:hint="eastAsia" w:ascii="宋体" w:hAnsi="宋体" w:cs="宋体"/>
                <w:sz w:val="28"/>
                <w:szCs w:val="24"/>
                <w:highlight w:val="none"/>
              </w:rPr>
            </w:pPr>
            <w:r>
              <w:rPr>
                <w:rFonts w:hint="eastAsia" w:ascii="宋体" w:hAnsi="宋体" w:cs="宋体"/>
                <w:sz w:val="28"/>
                <w:szCs w:val="24"/>
                <w:highlight w:val="none"/>
              </w:rPr>
              <w:t>考核副组长</w:t>
            </w:r>
          </w:p>
          <w:p w14:paraId="694DAC72">
            <w:pPr>
              <w:spacing w:line="300" w:lineRule="exact"/>
              <w:rPr>
                <w:rFonts w:hint="eastAsia" w:ascii="宋体" w:hAnsi="宋体" w:cs="宋体"/>
                <w:sz w:val="28"/>
                <w:szCs w:val="24"/>
                <w:highlight w:val="none"/>
              </w:rPr>
            </w:pPr>
          </w:p>
          <w:p w14:paraId="685793C2">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244" w:type="dxa"/>
            <w:noWrap w:val="0"/>
            <w:vAlign w:val="top"/>
          </w:tcPr>
          <w:p w14:paraId="74354FE4">
            <w:pPr>
              <w:spacing w:line="300" w:lineRule="exact"/>
              <w:rPr>
                <w:rFonts w:hint="eastAsia" w:ascii="宋体" w:hAnsi="宋体" w:cs="宋体"/>
                <w:sz w:val="28"/>
                <w:szCs w:val="24"/>
                <w:highlight w:val="none"/>
              </w:rPr>
            </w:pPr>
            <w:r>
              <w:rPr>
                <w:rFonts w:hint="eastAsia" w:ascii="宋体" w:hAnsi="宋体" w:cs="宋体"/>
                <w:sz w:val="28"/>
                <w:szCs w:val="24"/>
                <w:highlight w:val="none"/>
              </w:rPr>
              <w:t>考核组长</w:t>
            </w:r>
          </w:p>
          <w:p w14:paraId="41121D55">
            <w:pPr>
              <w:spacing w:line="300" w:lineRule="exact"/>
              <w:rPr>
                <w:rFonts w:hint="eastAsia" w:ascii="宋体" w:hAnsi="宋体" w:cs="宋体"/>
                <w:sz w:val="28"/>
                <w:szCs w:val="24"/>
                <w:highlight w:val="none"/>
              </w:rPr>
            </w:pPr>
          </w:p>
          <w:p w14:paraId="6209236B">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r>
    </w:tbl>
    <w:p w14:paraId="3B54818A">
      <w:pPr>
        <w:spacing w:line="460" w:lineRule="exact"/>
        <w:rPr>
          <w:rFonts w:hint="eastAsia" w:ascii="宋体" w:hAnsi="宋体" w:cs="宋体"/>
          <w:sz w:val="28"/>
          <w:szCs w:val="24"/>
          <w:highlight w:val="none"/>
        </w:rPr>
      </w:pPr>
    </w:p>
    <w:p w14:paraId="1FEB6FF9">
      <w:pPr>
        <w:spacing w:line="460" w:lineRule="exact"/>
        <w:jc w:val="center"/>
        <w:rPr>
          <w:rFonts w:hint="eastAsia" w:ascii="宋体" w:hAnsi="宋体" w:cs="宋体"/>
          <w:b/>
          <w:sz w:val="28"/>
          <w:szCs w:val="24"/>
          <w:highlight w:val="none"/>
        </w:rPr>
      </w:pPr>
      <w:r>
        <w:rPr>
          <w:rFonts w:hint="eastAsia" w:ascii="宋体" w:hAnsi="宋体" w:cs="宋体"/>
          <w:b/>
          <w:sz w:val="28"/>
          <w:szCs w:val="24"/>
          <w:highlight w:val="none"/>
        </w:rPr>
        <w:t>监理单位考核评定表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256"/>
        <w:gridCol w:w="524"/>
        <w:gridCol w:w="2474"/>
        <w:gridCol w:w="71"/>
        <w:gridCol w:w="1410"/>
        <w:gridCol w:w="774"/>
        <w:gridCol w:w="2244"/>
      </w:tblGrid>
      <w:tr w14:paraId="6AB6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90" w:type="dxa"/>
            <w:gridSpan w:val="2"/>
            <w:noWrap w:val="0"/>
            <w:vAlign w:val="center"/>
          </w:tcPr>
          <w:p w14:paraId="10DA3F5C">
            <w:pPr>
              <w:spacing w:line="300" w:lineRule="exact"/>
              <w:rPr>
                <w:rFonts w:hint="eastAsia" w:ascii="宋体" w:hAnsi="宋体" w:cs="宋体"/>
                <w:sz w:val="28"/>
                <w:szCs w:val="24"/>
                <w:highlight w:val="none"/>
              </w:rPr>
            </w:pPr>
            <w:r>
              <w:rPr>
                <w:rFonts w:hint="eastAsia" w:ascii="宋体" w:hAnsi="宋体" w:cs="宋体"/>
                <w:sz w:val="28"/>
                <w:szCs w:val="24"/>
                <w:highlight w:val="none"/>
              </w:rPr>
              <w:t>工程项目名称</w:t>
            </w:r>
          </w:p>
        </w:tc>
        <w:tc>
          <w:tcPr>
            <w:tcW w:w="7497" w:type="dxa"/>
            <w:gridSpan w:val="6"/>
            <w:noWrap w:val="0"/>
            <w:vAlign w:val="center"/>
          </w:tcPr>
          <w:p w14:paraId="3051CE81">
            <w:pPr>
              <w:spacing w:line="300" w:lineRule="exact"/>
              <w:rPr>
                <w:rFonts w:hint="eastAsia" w:ascii="宋体" w:hAnsi="宋体" w:cs="宋体"/>
                <w:sz w:val="28"/>
                <w:szCs w:val="24"/>
                <w:highlight w:val="none"/>
              </w:rPr>
            </w:pPr>
          </w:p>
        </w:tc>
      </w:tr>
      <w:tr w14:paraId="78C4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790" w:type="dxa"/>
            <w:gridSpan w:val="2"/>
            <w:noWrap w:val="0"/>
            <w:vAlign w:val="center"/>
          </w:tcPr>
          <w:p w14:paraId="7F57ACA5">
            <w:pPr>
              <w:spacing w:line="300" w:lineRule="exact"/>
              <w:rPr>
                <w:rFonts w:hint="eastAsia" w:ascii="宋体" w:hAnsi="宋体" w:cs="宋体"/>
                <w:sz w:val="28"/>
                <w:szCs w:val="24"/>
                <w:highlight w:val="none"/>
              </w:rPr>
            </w:pPr>
            <w:r>
              <w:rPr>
                <w:rFonts w:hint="eastAsia" w:ascii="宋体" w:hAnsi="宋体" w:cs="宋体"/>
                <w:sz w:val="28"/>
                <w:szCs w:val="24"/>
                <w:highlight w:val="none"/>
              </w:rPr>
              <w:t>监理单位名称</w:t>
            </w:r>
          </w:p>
        </w:tc>
        <w:tc>
          <w:tcPr>
            <w:tcW w:w="3069" w:type="dxa"/>
            <w:gridSpan w:val="3"/>
            <w:noWrap w:val="0"/>
            <w:vAlign w:val="center"/>
          </w:tcPr>
          <w:p w14:paraId="08CC7456">
            <w:pPr>
              <w:spacing w:line="300" w:lineRule="exact"/>
              <w:rPr>
                <w:rFonts w:hint="eastAsia" w:ascii="宋体" w:hAnsi="宋体" w:cs="宋体"/>
                <w:sz w:val="28"/>
                <w:szCs w:val="24"/>
                <w:highlight w:val="none"/>
              </w:rPr>
            </w:pPr>
          </w:p>
        </w:tc>
        <w:tc>
          <w:tcPr>
            <w:tcW w:w="1410" w:type="dxa"/>
            <w:noWrap w:val="0"/>
            <w:vAlign w:val="center"/>
          </w:tcPr>
          <w:p w14:paraId="109B90D0">
            <w:pPr>
              <w:spacing w:line="300" w:lineRule="exact"/>
              <w:rPr>
                <w:rFonts w:hint="eastAsia" w:ascii="宋体" w:hAnsi="宋体" w:cs="宋体"/>
                <w:sz w:val="28"/>
                <w:szCs w:val="24"/>
                <w:highlight w:val="none"/>
              </w:rPr>
            </w:pPr>
            <w:r>
              <w:rPr>
                <w:rFonts w:hint="eastAsia" w:ascii="宋体" w:hAnsi="宋体" w:cs="宋体"/>
                <w:sz w:val="28"/>
                <w:szCs w:val="24"/>
                <w:highlight w:val="none"/>
              </w:rPr>
              <w:t>考核得分</w:t>
            </w:r>
          </w:p>
        </w:tc>
        <w:tc>
          <w:tcPr>
            <w:tcW w:w="3018" w:type="dxa"/>
            <w:gridSpan w:val="2"/>
            <w:noWrap w:val="0"/>
            <w:vAlign w:val="center"/>
          </w:tcPr>
          <w:p w14:paraId="5D964400">
            <w:pPr>
              <w:spacing w:line="300" w:lineRule="exact"/>
              <w:rPr>
                <w:rFonts w:hint="eastAsia" w:ascii="宋体" w:hAnsi="宋体" w:cs="宋体"/>
                <w:sz w:val="28"/>
                <w:szCs w:val="24"/>
                <w:highlight w:val="none"/>
              </w:rPr>
            </w:pPr>
          </w:p>
        </w:tc>
      </w:tr>
      <w:tr w14:paraId="1FA4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9287" w:type="dxa"/>
            <w:gridSpan w:val="8"/>
            <w:noWrap w:val="0"/>
            <w:vAlign w:val="top"/>
          </w:tcPr>
          <w:p w14:paraId="24B08144">
            <w:pPr>
              <w:spacing w:line="300" w:lineRule="exact"/>
              <w:rPr>
                <w:rFonts w:hint="eastAsia" w:ascii="宋体" w:hAnsi="宋体" w:cs="宋体"/>
                <w:sz w:val="28"/>
                <w:szCs w:val="24"/>
                <w:highlight w:val="none"/>
              </w:rPr>
            </w:pPr>
            <w:r>
              <w:rPr>
                <w:rFonts w:hint="eastAsia" w:ascii="宋体" w:hAnsi="宋体" w:cs="宋体"/>
                <w:sz w:val="28"/>
                <w:szCs w:val="24"/>
                <w:highlight w:val="none"/>
              </w:rPr>
              <w:t>考核结果处理意见：</w:t>
            </w:r>
          </w:p>
        </w:tc>
      </w:tr>
      <w:tr w14:paraId="3B84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534" w:type="dxa"/>
            <w:vMerge w:val="restart"/>
            <w:noWrap w:val="0"/>
            <w:vAlign w:val="center"/>
          </w:tcPr>
          <w:p w14:paraId="1A20CD70">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考</w:t>
            </w:r>
          </w:p>
          <w:p w14:paraId="5D8E3872">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核</w:t>
            </w:r>
          </w:p>
          <w:p w14:paraId="18869AD1">
            <w:pPr>
              <w:spacing w:line="300" w:lineRule="exact"/>
              <w:jc w:val="center"/>
              <w:rPr>
                <w:rFonts w:hint="eastAsia" w:ascii="宋体" w:hAnsi="宋体" w:cs="宋体"/>
                <w:sz w:val="28"/>
                <w:szCs w:val="24"/>
                <w:highlight w:val="none"/>
              </w:rPr>
            </w:pPr>
            <w:r>
              <w:rPr>
                <w:rFonts w:hint="eastAsia" w:ascii="宋体" w:hAnsi="宋体" w:cs="宋体"/>
                <w:sz w:val="28"/>
                <w:szCs w:val="24"/>
                <w:highlight w:val="none"/>
              </w:rPr>
              <w:t>组</w:t>
            </w:r>
          </w:p>
        </w:tc>
        <w:tc>
          <w:tcPr>
            <w:tcW w:w="1780" w:type="dxa"/>
            <w:gridSpan w:val="2"/>
            <w:noWrap w:val="0"/>
            <w:vAlign w:val="top"/>
          </w:tcPr>
          <w:p w14:paraId="007EA718">
            <w:pPr>
              <w:spacing w:line="300" w:lineRule="exact"/>
              <w:rPr>
                <w:rFonts w:hint="eastAsia" w:ascii="宋体" w:hAnsi="宋体" w:cs="宋体"/>
                <w:sz w:val="28"/>
                <w:szCs w:val="24"/>
                <w:highlight w:val="none"/>
              </w:rPr>
            </w:pPr>
            <w:r>
              <w:rPr>
                <w:rFonts w:hint="eastAsia" w:ascii="宋体" w:hAnsi="宋体" w:cs="宋体"/>
                <w:sz w:val="28"/>
                <w:szCs w:val="24"/>
                <w:highlight w:val="none"/>
              </w:rPr>
              <w:t>工程管理部</w:t>
            </w:r>
          </w:p>
          <w:p w14:paraId="41AB87B5">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5F92F4FB">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474" w:type="dxa"/>
            <w:noWrap w:val="0"/>
            <w:vAlign w:val="center"/>
          </w:tcPr>
          <w:p w14:paraId="155A8D66">
            <w:pPr>
              <w:spacing w:line="300" w:lineRule="exact"/>
              <w:rPr>
                <w:rFonts w:hint="eastAsia" w:ascii="宋体" w:hAnsi="宋体" w:cs="宋体"/>
                <w:sz w:val="28"/>
                <w:szCs w:val="24"/>
                <w:highlight w:val="none"/>
              </w:rPr>
            </w:pPr>
            <w:r>
              <w:rPr>
                <w:rFonts w:hint="eastAsia" w:ascii="宋体" w:hAnsi="宋体" w:cs="宋体"/>
                <w:sz w:val="28"/>
                <w:szCs w:val="24"/>
                <w:highlight w:val="none"/>
              </w:rPr>
              <w:t>安全质量中心</w:t>
            </w:r>
          </w:p>
          <w:p w14:paraId="43921C6A">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6DA513C1">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255" w:type="dxa"/>
            <w:gridSpan w:val="3"/>
            <w:noWrap w:val="0"/>
            <w:vAlign w:val="center"/>
          </w:tcPr>
          <w:p w14:paraId="08810252">
            <w:pPr>
              <w:spacing w:line="300" w:lineRule="exact"/>
              <w:rPr>
                <w:rFonts w:hint="eastAsia" w:ascii="宋体" w:hAnsi="宋体" w:cs="宋体"/>
                <w:sz w:val="28"/>
                <w:szCs w:val="24"/>
                <w:highlight w:val="none"/>
              </w:rPr>
            </w:pPr>
            <w:r>
              <w:rPr>
                <w:rFonts w:hint="eastAsia" w:ascii="宋体" w:hAnsi="宋体" w:cs="宋体"/>
                <w:sz w:val="28"/>
                <w:szCs w:val="24"/>
                <w:highlight w:val="none"/>
              </w:rPr>
              <w:t>技术部</w:t>
            </w:r>
          </w:p>
          <w:p w14:paraId="4FE4ED78">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6A14BB75">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244" w:type="dxa"/>
            <w:noWrap w:val="0"/>
            <w:vAlign w:val="center"/>
          </w:tcPr>
          <w:p w14:paraId="78CB6ADC">
            <w:pPr>
              <w:spacing w:line="300" w:lineRule="exact"/>
              <w:rPr>
                <w:rFonts w:hint="eastAsia" w:ascii="宋体" w:hAnsi="宋体" w:cs="宋体"/>
                <w:sz w:val="28"/>
                <w:szCs w:val="24"/>
                <w:highlight w:val="none"/>
              </w:rPr>
            </w:pPr>
            <w:r>
              <w:rPr>
                <w:rFonts w:hint="eastAsia" w:ascii="宋体" w:hAnsi="宋体" w:cs="宋体"/>
                <w:sz w:val="28"/>
                <w:szCs w:val="24"/>
                <w:highlight w:val="none"/>
              </w:rPr>
              <w:t>合同预算部</w:t>
            </w:r>
          </w:p>
          <w:p w14:paraId="1E464B9B">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6D71C103">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 xml:space="preserve"> 年    月    日</w:t>
            </w:r>
          </w:p>
        </w:tc>
      </w:tr>
      <w:tr w14:paraId="7CDB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534" w:type="dxa"/>
            <w:vMerge w:val="continue"/>
            <w:noWrap w:val="0"/>
            <w:vAlign w:val="top"/>
          </w:tcPr>
          <w:p w14:paraId="0E6D4576">
            <w:pPr>
              <w:spacing w:line="300" w:lineRule="exact"/>
              <w:rPr>
                <w:rFonts w:hint="eastAsia" w:ascii="宋体" w:hAnsi="宋体" w:cs="宋体"/>
                <w:sz w:val="28"/>
                <w:szCs w:val="24"/>
                <w:highlight w:val="none"/>
              </w:rPr>
            </w:pPr>
          </w:p>
        </w:tc>
        <w:tc>
          <w:tcPr>
            <w:tcW w:w="1780" w:type="dxa"/>
            <w:gridSpan w:val="2"/>
            <w:noWrap w:val="0"/>
            <w:vAlign w:val="top"/>
          </w:tcPr>
          <w:p w14:paraId="37FDC9A2">
            <w:pPr>
              <w:spacing w:line="300" w:lineRule="exact"/>
              <w:rPr>
                <w:rFonts w:hint="eastAsia" w:ascii="宋体" w:hAnsi="宋体" w:cs="宋体"/>
                <w:sz w:val="28"/>
                <w:szCs w:val="24"/>
                <w:highlight w:val="none"/>
              </w:rPr>
            </w:pPr>
            <w:r>
              <w:rPr>
                <w:rFonts w:hint="eastAsia" w:ascii="宋体" w:hAnsi="宋体" w:cs="宋体"/>
                <w:sz w:val="28"/>
                <w:szCs w:val="24"/>
                <w:highlight w:val="none"/>
              </w:rPr>
              <w:t>建设项目部</w:t>
            </w:r>
          </w:p>
          <w:p w14:paraId="6342AC36">
            <w:pPr>
              <w:spacing w:line="300" w:lineRule="exact"/>
              <w:rPr>
                <w:rFonts w:hint="eastAsia" w:ascii="宋体" w:hAnsi="宋体" w:cs="宋体"/>
                <w:sz w:val="28"/>
                <w:szCs w:val="24"/>
                <w:highlight w:val="none"/>
              </w:rPr>
            </w:pPr>
            <w:r>
              <w:rPr>
                <w:rFonts w:hint="eastAsia" w:ascii="宋体" w:hAnsi="宋体" w:cs="宋体"/>
                <w:sz w:val="28"/>
                <w:szCs w:val="24"/>
                <w:highlight w:val="none"/>
              </w:rPr>
              <w:t xml:space="preserve">           </w:t>
            </w:r>
          </w:p>
          <w:p w14:paraId="55F61AE5">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474" w:type="dxa"/>
            <w:noWrap w:val="0"/>
            <w:vAlign w:val="top"/>
          </w:tcPr>
          <w:p w14:paraId="41E25248">
            <w:pPr>
              <w:spacing w:line="300" w:lineRule="exact"/>
              <w:rPr>
                <w:rFonts w:hint="eastAsia" w:ascii="宋体" w:hAnsi="宋体" w:cs="宋体"/>
                <w:sz w:val="28"/>
                <w:szCs w:val="24"/>
                <w:highlight w:val="none"/>
              </w:rPr>
            </w:pPr>
            <w:r>
              <w:rPr>
                <w:rFonts w:hint="eastAsia" w:ascii="宋体" w:hAnsi="宋体" w:cs="宋体"/>
                <w:sz w:val="28"/>
                <w:szCs w:val="24"/>
                <w:highlight w:val="none"/>
              </w:rPr>
              <w:t>财务部</w:t>
            </w:r>
          </w:p>
          <w:p w14:paraId="0B7DD23C">
            <w:pPr>
              <w:spacing w:line="300" w:lineRule="exact"/>
              <w:rPr>
                <w:rFonts w:hint="eastAsia" w:ascii="宋体" w:hAnsi="宋体" w:cs="宋体"/>
                <w:sz w:val="28"/>
                <w:szCs w:val="24"/>
                <w:highlight w:val="none"/>
              </w:rPr>
            </w:pPr>
          </w:p>
          <w:p w14:paraId="37A40737">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255" w:type="dxa"/>
            <w:gridSpan w:val="3"/>
            <w:noWrap w:val="0"/>
            <w:vAlign w:val="top"/>
          </w:tcPr>
          <w:p w14:paraId="4AC45FE7">
            <w:pPr>
              <w:spacing w:line="300" w:lineRule="exact"/>
              <w:rPr>
                <w:rFonts w:hint="eastAsia" w:ascii="宋体" w:hAnsi="宋体" w:cs="宋体"/>
                <w:sz w:val="28"/>
                <w:szCs w:val="24"/>
                <w:highlight w:val="none"/>
              </w:rPr>
            </w:pPr>
            <w:r>
              <w:rPr>
                <w:rFonts w:hint="eastAsia" w:ascii="宋体" w:hAnsi="宋体" w:cs="宋体"/>
                <w:sz w:val="28"/>
                <w:szCs w:val="24"/>
                <w:highlight w:val="none"/>
              </w:rPr>
              <w:t>考核副组长</w:t>
            </w:r>
          </w:p>
          <w:p w14:paraId="241D0FF0">
            <w:pPr>
              <w:spacing w:line="300" w:lineRule="exact"/>
              <w:rPr>
                <w:rFonts w:hint="eastAsia" w:ascii="宋体" w:hAnsi="宋体" w:cs="宋体"/>
                <w:sz w:val="28"/>
                <w:szCs w:val="24"/>
                <w:highlight w:val="none"/>
              </w:rPr>
            </w:pPr>
          </w:p>
          <w:p w14:paraId="496936D8">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c>
          <w:tcPr>
            <w:tcW w:w="2244" w:type="dxa"/>
            <w:noWrap w:val="0"/>
            <w:vAlign w:val="top"/>
          </w:tcPr>
          <w:p w14:paraId="7E15744A">
            <w:pPr>
              <w:spacing w:line="300" w:lineRule="exact"/>
              <w:rPr>
                <w:rFonts w:hint="eastAsia" w:ascii="宋体" w:hAnsi="宋体" w:cs="宋体"/>
                <w:sz w:val="28"/>
                <w:szCs w:val="24"/>
                <w:highlight w:val="none"/>
              </w:rPr>
            </w:pPr>
            <w:r>
              <w:rPr>
                <w:rFonts w:hint="eastAsia" w:ascii="宋体" w:hAnsi="宋体" w:cs="宋体"/>
                <w:sz w:val="28"/>
                <w:szCs w:val="24"/>
                <w:highlight w:val="none"/>
              </w:rPr>
              <w:t>考核组长</w:t>
            </w:r>
          </w:p>
          <w:p w14:paraId="05E897C6">
            <w:pPr>
              <w:spacing w:line="300" w:lineRule="exact"/>
              <w:rPr>
                <w:rFonts w:hint="eastAsia" w:ascii="宋体" w:hAnsi="宋体" w:cs="宋体"/>
                <w:sz w:val="28"/>
                <w:szCs w:val="24"/>
                <w:highlight w:val="none"/>
              </w:rPr>
            </w:pPr>
          </w:p>
          <w:p w14:paraId="2BE66A26">
            <w:pPr>
              <w:spacing w:line="300" w:lineRule="exact"/>
              <w:jc w:val="right"/>
              <w:rPr>
                <w:rFonts w:hint="eastAsia" w:ascii="宋体" w:hAnsi="宋体" w:cs="宋体"/>
                <w:sz w:val="28"/>
                <w:szCs w:val="24"/>
                <w:highlight w:val="none"/>
              </w:rPr>
            </w:pPr>
            <w:r>
              <w:rPr>
                <w:rFonts w:hint="eastAsia" w:ascii="宋体" w:hAnsi="宋体" w:cs="宋体"/>
                <w:sz w:val="28"/>
                <w:szCs w:val="24"/>
                <w:highlight w:val="none"/>
              </w:rPr>
              <w:t>年    月    日</w:t>
            </w:r>
          </w:p>
        </w:tc>
      </w:tr>
    </w:tbl>
    <w:p w14:paraId="4D43EB99">
      <w:pPr>
        <w:spacing w:line="600" w:lineRule="exact"/>
        <w:jc w:val="left"/>
        <w:rPr>
          <w:rFonts w:hint="eastAsia" w:ascii="宋体" w:hAnsi="宋体" w:cs="宋体"/>
          <w:bCs/>
          <w:sz w:val="28"/>
          <w:szCs w:val="24"/>
          <w:highlight w:val="none"/>
        </w:rPr>
      </w:pPr>
      <w:r>
        <w:rPr>
          <w:rFonts w:hint="eastAsia" w:ascii="宋体" w:hAnsi="宋体" w:cs="宋体"/>
          <w:bCs/>
          <w:sz w:val="28"/>
          <w:szCs w:val="24"/>
          <w:highlight w:val="none"/>
        </w:rPr>
        <w:t>附件十三：配合承包人检查、考核承诺书</w:t>
      </w:r>
    </w:p>
    <w:p w14:paraId="5CFB23CD">
      <w:pPr>
        <w:spacing w:line="600" w:lineRule="exact"/>
        <w:jc w:val="center"/>
        <w:rPr>
          <w:rFonts w:hint="eastAsia" w:ascii="宋体" w:hAnsi="宋体" w:cs="宋体"/>
          <w:sz w:val="48"/>
          <w:szCs w:val="48"/>
          <w:highlight w:val="none"/>
        </w:rPr>
      </w:pPr>
      <w:r>
        <w:rPr>
          <w:rFonts w:hint="eastAsia" w:ascii="宋体" w:hAnsi="宋体" w:cs="宋体"/>
          <w:sz w:val="48"/>
          <w:szCs w:val="48"/>
          <w:highlight w:val="none"/>
        </w:rPr>
        <w:t xml:space="preserve">  </w:t>
      </w:r>
    </w:p>
    <w:p w14:paraId="78A3B91D">
      <w:pPr>
        <w:spacing w:line="600" w:lineRule="exact"/>
        <w:jc w:val="center"/>
        <w:rPr>
          <w:rFonts w:hint="eastAsia" w:ascii="宋体" w:hAnsi="宋体" w:cs="宋体"/>
          <w:b/>
          <w:sz w:val="48"/>
          <w:szCs w:val="48"/>
          <w:highlight w:val="none"/>
        </w:rPr>
      </w:pPr>
      <w:r>
        <w:rPr>
          <w:rFonts w:hint="eastAsia" w:ascii="宋体" w:hAnsi="宋体" w:cs="宋体"/>
          <w:sz w:val="48"/>
          <w:szCs w:val="48"/>
          <w:highlight w:val="none"/>
        </w:rPr>
        <w:t>配合承包人检查、考核承诺书</w:t>
      </w:r>
    </w:p>
    <w:p w14:paraId="6A397341">
      <w:pPr>
        <w:spacing w:line="600" w:lineRule="exact"/>
        <w:ind w:firstLine="720" w:firstLineChars="200"/>
        <w:rPr>
          <w:rFonts w:hint="eastAsia" w:ascii="宋体" w:hAnsi="宋体" w:cs="宋体"/>
          <w:sz w:val="36"/>
          <w:szCs w:val="36"/>
          <w:highlight w:val="none"/>
        </w:rPr>
      </w:pPr>
    </w:p>
    <w:p w14:paraId="6136A406">
      <w:pPr>
        <w:spacing w:line="60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 xml:space="preserve">发包人： </w:t>
      </w:r>
      <w:r>
        <w:rPr>
          <w:rFonts w:hint="eastAsia" w:ascii="宋体" w:hAnsi="宋体" w:cs="宋体"/>
          <w:sz w:val="28"/>
          <w:szCs w:val="24"/>
          <w:highlight w:val="none"/>
          <w:u w:val="single"/>
        </w:rPr>
        <w:t xml:space="preserve"> 西安高新技术产业开发区公共项目建设管理中心  </w:t>
      </w:r>
      <w:r>
        <w:rPr>
          <w:rFonts w:hint="eastAsia" w:ascii="宋体" w:hAnsi="宋体" w:cs="宋体"/>
          <w:sz w:val="28"/>
          <w:szCs w:val="24"/>
          <w:highlight w:val="none"/>
        </w:rPr>
        <w:t xml:space="preserve">                                       </w:t>
      </w:r>
    </w:p>
    <w:p w14:paraId="0DFB0BEC">
      <w:pPr>
        <w:spacing w:line="600" w:lineRule="exact"/>
        <w:ind w:firstLine="560" w:firstLineChars="200"/>
        <w:rPr>
          <w:rFonts w:hint="eastAsia" w:ascii="宋体" w:hAnsi="宋体" w:cs="宋体"/>
          <w:b/>
          <w:sz w:val="28"/>
          <w:szCs w:val="24"/>
          <w:highlight w:val="none"/>
        </w:rPr>
      </w:pPr>
      <w:r>
        <w:rPr>
          <w:rFonts w:hint="eastAsia" w:ascii="宋体" w:hAnsi="宋体" w:cs="宋体"/>
          <w:sz w:val="28"/>
          <w:szCs w:val="24"/>
          <w:highlight w:val="none"/>
        </w:rPr>
        <w:t>承包人：</w:t>
      </w:r>
      <w:r>
        <w:rPr>
          <w:rFonts w:hint="eastAsia" w:ascii="宋体" w:hAnsi="宋体" w:cs="宋体"/>
          <w:b/>
          <w:sz w:val="28"/>
          <w:szCs w:val="24"/>
          <w:highlight w:val="none"/>
        </w:rPr>
        <w:t xml:space="preserve"> </w:t>
      </w:r>
      <w:r>
        <w:rPr>
          <w:rFonts w:hint="eastAsia" w:ascii="宋体" w:hAnsi="宋体" w:cs="宋体"/>
          <w:b w:val="0"/>
          <w:bCs/>
          <w:sz w:val="28"/>
          <w:szCs w:val="24"/>
          <w:highlight w:val="none"/>
          <w:u w:val="single"/>
        </w:rPr>
        <w:t xml:space="preserve"> </w:t>
      </w:r>
      <w:r>
        <w:rPr>
          <w:rFonts w:hint="eastAsia" w:ascii="宋体" w:hAnsi="宋体" w:cs="宋体"/>
          <w:b w:val="0"/>
          <w:bCs/>
          <w:sz w:val="28"/>
          <w:szCs w:val="24"/>
          <w:highlight w:val="none"/>
          <w:u w:val="single"/>
          <w:lang w:eastAsia="zh-CN"/>
        </w:rPr>
        <w:t>陕西建工集团股份有限公司</w:t>
      </w:r>
      <w:r>
        <w:rPr>
          <w:rFonts w:hint="eastAsia" w:ascii="宋体" w:hAnsi="宋体" w:cs="宋体"/>
          <w:b w:val="0"/>
          <w:bCs/>
          <w:sz w:val="28"/>
          <w:szCs w:val="24"/>
          <w:highlight w:val="none"/>
          <w:u w:val="single"/>
        </w:rPr>
        <w:t xml:space="preserve"> </w:t>
      </w:r>
    </w:p>
    <w:p w14:paraId="14207915">
      <w:pPr>
        <w:spacing w:line="600" w:lineRule="exact"/>
        <w:ind w:firstLine="560" w:firstLineChars="200"/>
        <w:rPr>
          <w:rFonts w:hint="eastAsia" w:ascii="宋体" w:hAnsi="宋体" w:cs="宋体"/>
          <w:b/>
          <w:sz w:val="28"/>
          <w:szCs w:val="24"/>
          <w:highlight w:val="none"/>
        </w:rPr>
      </w:pPr>
      <w:r>
        <w:rPr>
          <w:rFonts w:hint="eastAsia" w:ascii="宋体" w:hAnsi="宋体" w:cs="宋体"/>
          <w:sz w:val="28"/>
          <w:szCs w:val="24"/>
          <w:highlight w:val="none"/>
        </w:rPr>
        <w:t>为加强建设项目在全过程建设环节中的质量把控，根据《中华人民共和国建筑法》和国家有关法律、法规制定本办法。承包人承诺执行本办法，接受发包人在施工过程的的检查及管理，积极配合整改。</w:t>
      </w:r>
    </w:p>
    <w:p w14:paraId="42CEF7CB">
      <w:pPr>
        <w:spacing w:line="600" w:lineRule="exact"/>
        <w:ind w:left="630"/>
        <w:rPr>
          <w:rFonts w:hint="eastAsia" w:ascii="宋体" w:hAnsi="宋体" w:cs="宋体"/>
          <w:b/>
          <w:sz w:val="28"/>
          <w:szCs w:val="24"/>
          <w:highlight w:val="none"/>
        </w:rPr>
      </w:pPr>
      <w:r>
        <w:rPr>
          <w:rFonts w:hint="eastAsia" w:ascii="宋体" w:hAnsi="宋体" w:cs="宋体"/>
          <w:b/>
          <w:sz w:val="28"/>
          <w:szCs w:val="24"/>
          <w:highlight w:val="none"/>
        </w:rPr>
        <w:t>一、检查程序</w:t>
      </w:r>
    </w:p>
    <w:p w14:paraId="7D574358">
      <w:pPr>
        <w:spacing w:line="60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根据现场实际进展，当施工至附件</w:t>
      </w:r>
      <w:r>
        <w:rPr>
          <w:rFonts w:hint="eastAsia" w:ascii="宋体" w:hAnsi="宋体" w:cs="宋体"/>
          <w:b/>
          <w:sz w:val="28"/>
          <w:szCs w:val="24"/>
          <w:highlight w:val="none"/>
        </w:rPr>
        <w:t>1.</w:t>
      </w:r>
      <w:r>
        <w:rPr>
          <w:rFonts w:hint="eastAsia" w:ascii="宋体" w:hAnsi="宋体" w:cs="宋体"/>
          <w:sz w:val="28"/>
          <w:szCs w:val="24"/>
          <w:highlight w:val="none"/>
        </w:rPr>
        <w:t xml:space="preserve"> 工程管理检查清单表对应节点时，由施工单位向</w:t>
      </w:r>
      <w:r>
        <w:rPr>
          <w:rFonts w:hint="eastAsia" w:ascii="宋体" w:hAnsi="宋体" w:cs="宋体"/>
          <w:sz w:val="28"/>
          <w:szCs w:val="24"/>
          <w:highlight w:val="none"/>
          <w:lang w:val="en-US" w:eastAsia="zh-CN"/>
        </w:rPr>
        <w:t>发包人</w:t>
      </w:r>
      <w:r>
        <w:rPr>
          <w:rFonts w:hint="eastAsia" w:ascii="宋体" w:hAnsi="宋体" w:cs="宋体"/>
          <w:sz w:val="28"/>
          <w:szCs w:val="24"/>
          <w:highlight w:val="none"/>
        </w:rPr>
        <w:t>申请检查。由</w:t>
      </w:r>
      <w:r>
        <w:rPr>
          <w:rFonts w:hint="eastAsia" w:ascii="宋体" w:hAnsi="宋体" w:cs="宋体"/>
          <w:sz w:val="28"/>
          <w:szCs w:val="24"/>
          <w:highlight w:val="none"/>
          <w:lang w:val="en-US" w:eastAsia="zh-CN"/>
        </w:rPr>
        <w:t>发包人</w:t>
      </w:r>
      <w:r>
        <w:rPr>
          <w:rFonts w:hint="eastAsia" w:ascii="宋体" w:hAnsi="宋体" w:cs="宋体"/>
          <w:sz w:val="28"/>
          <w:szCs w:val="24"/>
          <w:highlight w:val="none"/>
        </w:rPr>
        <w:t>组织进行检查。</w:t>
      </w:r>
    </w:p>
    <w:p w14:paraId="13A6518B">
      <w:pPr>
        <w:spacing w:line="600" w:lineRule="exact"/>
        <w:ind w:firstLine="562" w:firstLineChars="200"/>
        <w:rPr>
          <w:rFonts w:hint="eastAsia" w:ascii="宋体" w:hAnsi="宋体" w:cs="宋体"/>
          <w:b/>
          <w:sz w:val="28"/>
          <w:szCs w:val="24"/>
          <w:highlight w:val="none"/>
        </w:rPr>
      </w:pPr>
      <w:r>
        <w:rPr>
          <w:rFonts w:hint="eastAsia" w:ascii="宋体" w:hAnsi="宋体" w:cs="宋体"/>
          <w:b/>
          <w:sz w:val="28"/>
          <w:szCs w:val="24"/>
          <w:highlight w:val="none"/>
        </w:rPr>
        <w:t>二、 检查内容</w:t>
      </w:r>
    </w:p>
    <w:p w14:paraId="140FB233">
      <w:pPr>
        <w:spacing w:line="60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具体检查内容按工程管理检查清单表（附件1）执行，并形成检查记录表（附件2）。</w:t>
      </w:r>
    </w:p>
    <w:p w14:paraId="66CB29A0">
      <w:pPr>
        <w:spacing w:line="600" w:lineRule="exact"/>
        <w:ind w:firstLine="560" w:firstLineChars="200"/>
        <w:rPr>
          <w:rFonts w:hint="eastAsia" w:ascii="宋体" w:hAnsi="宋体" w:cs="宋体"/>
          <w:sz w:val="28"/>
          <w:szCs w:val="24"/>
          <w:highlight w:val="none"/>
        </w:rPr>
      </w:pPr>
      <w:r>
        <w:rPr>
          <w:rFonts w:hint="eastAsia" w:ascii="宋体" w:hAnsi="宋体" w:cs="宋体"/>
          <w:sz w:val="28"/>
          <w:szCs w:val="24"/>
          <w:highlight w:val="none"/>
        </w:rPr>
        <w:t>附件：</w:t>
      </w:r>
      <w:r>
        <w:rPr>
          <w:rFonts w:hint="eastAsia" w:ascii="宋体" w:hAnsi="宋体" w:cs="宋体"/>
          <w:b/>
          <w:sz w:val="28"/>
          <w:szCs w:val="24"/>
          <w:highlight w:val="none"/>
        </w:rPr>
        <w:t>1.</w:t>
      </w:r>
      <w:r>
        <w:rPr>
          <w:rFonts w:hint="eastAsia" w:ascii="宋体" w:hAnsi="宋体" w:cs="宋体"/>
          <w:sz w:val="28"/>
          <w:szCs w:val="24"/>
          <w:highlight w:val="none"/>
        </w:rPr>
        <w:t xml:space="preserve"> 工程管理检查清单表</w:t>
      </w:r>
    </w:p>
    <w:p w14:paraId="1EDB05A0">
      <w:pPr>
        <w:spacing w:line="600" w:lineRule="exact"/>
        <w:ind w:firstLine="1400" w:firstLineChars="500"/>
        <w:rPr>
          <w:rFonts w:hint="eastAsia" w:ascii="宋体" w:hAnsi="宋体" w:cs="宋体"/>
          <w:sz w:val="28"/>
          <w:szCs w:val="24"/>
          <w:highlight w:val="none"/>
        </w:rPr>
      </w:pPr>
      <w:r>
        <w:rPr>
          <w:rFonts w:hint="eastAsia" w:ascii="宋体" w:hAnsi="宋体" w:cs="宋体"/>
          <w:sz w:val="28"/>
          <w:szCs w:val="24"/>
          <w:highlight w:val="none"/>
        </w:rPr>
        <w:t>2. 工程检查记录表</w:t>
      </w:r>
    </w:p>
    <w:p w14:paraId="08A1A54E">
      <w:pPr>
        <w:spacing w:line="600" w:lineRule="exact"/>
        <w:rPr>
          <w:rFonts w:hint="eastAsia" w:ascii="宋体" w:hAnsi="宋体" w:cs="宋体"/>
          <w:sz w:val="28"/>
          <w:szCs w:val="24"/>
          <w:highlight w:val="none"/>
        </w:rPr>
        <w:sectPr>
          <w:pgSz w:w="11906" w:h="16838"/>
          <w:pgMar w:top="2098" w:right="1247" w:bottom="1985" w:left="1247" w:header="851" w:footer="992" w:gutter="0"/>
          <w:pgNumType w:fmt="decimal"/>
          <w:cols w:space="720" w:num="1"/>
          <w:docGrid w:type="lines" w:linePitch="312" w:charSpace="800"/>
        </w:sectPr>
      </w:pPr>
    </w:p>
    <w:p w14:paraId="5DB6CC36">
      <w:pPr>
        <w:spacing w:line="600" w:lineRule="exact"/>
        <w:rPr>
          <w:rFonts w:hint="eastAsia" w:ascii="宋体" w:hAnsi="宋体" w:cs="宋体"/>
          <w:sz w:val="28"/>
          <w:szCs w:val="24"/>
          <w:highlight w:val="none"/>
        </w:rPr>
      </w:pPr>
      <w:r>
        <w:rPr>
          <w:rFonts w:hint="eastAsia" w:ascii="宋体" w:hAnsi="宋体" w:cs="宋体"/>
          <w:sz w:val="28"/>
          <w:szCs w:val="24"/>
          <w:highlight w:val="none"/>
        </w:rPr>
        <w:t xml:space="preserve"> 附件1      </w:t>
      </w:r>
    </w:p>
    <w:p w14:paraId="4047CEC4">
      <w:pPr>
        <w:spacing w:line="560" w:lineRule="exact"/>
        <w:jc w:val="center"/>
        <w:rPr>
          <w:rFonts w:hint="eastAsia" w:ascii="宋体" w:hAnsi="宋体" w:cs="宋体"/>
          <w:b/>
          <w:bCs/>
          <w:sz w:val="28"/>
          <w:szCs w:val="24"/>
          <w:highlight w:val="none"/>
        </w:rPr>
      </w:pPr>
      <w:r>
        <w:rPr>
          <w:rFonts w:hint="eastAsia" w:ascii="宋体" w:hAnsi="宋体" w:cs="宋体"/>
          <w:b/>
          <w:bCs/>
          <w:sz w:val="28"/>
          <w:szCs w:val="24"/>
          <w:highlight w:val="none"/>
        </w:rPr>
        <w:t>工程管理检查清单</w:t>
      </w:r>
    </w:p>
    <w:tbl>
      <w:tblPr>
        <w:tblStyle w:val="14"/>
        <w:tblW w:w="1318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3692"/>
        <w:gridCol w:w="2799"/>
        <w:gridCol w:w="2985"/>
        <w:gridCol w:w="1440"/>
        <w:gridCol w:w="1281"/>
      </w:tblGrid>
      <w:tr w14:paraId="2E60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86" w:type="dxa"/>
            <w:noWrap w:val="0"/>
            <w:vAlign w:val="center"/>
          </w:tcPr>
          <w:p w14:paraId="23949080">
            <w:pPr>
              <w:spacing w:line="560" w:lineRule="exact"/>
              <w:jc w:val="center"/>
              <w:rPr>
                <w:rFonts w:hint="eastAsia" w:ascii="宋体" w:hAnsi="宋体" w:cs="宋体"/>
                <w:b/>
                <w:sz w:val="28"/>
                <w:szCs w:val="24"/>
                <w:highlight w:val="none"/>
              </w:rPr>
            </w:pPr>
            <w:r>
              <w:rPr>
                <w:rFonts w:hint="eastAsia" w:ascii="宋体" w:hAnsi="宋体" w:cs="宋体"/>
                <w:b/>
                <w:sz w:val="28"/>
                <w:szCs w:val="24"/>
                <w:highlight w:val="none"/>
              </w:rPr>
              <w:t>类别</w:t>
            </w:r>
          </w:p>
        </w:tc>
        <w:tc>
          <w:tcPr>
            <w:tcW w:w="3692" w:type="dxa"/>
            <w:noWrap w:val="0"/>
            <w:vAlign w:val="center"/>
          </w:tcPr>
          <w:p w14:paraId="6AF5E851">
            <w:pPr>
              <w:spacing w:line="560" w:lineRule="exact"/>
              <w:ind w:firstLine="562" w:firstLineChars="200"/>
              <w:jc w:val="center"/>
              <w:rPr>
                <w:rFonts w:hint="eastAsia" w:ascii="宋体" w:hAnsi="宋体" w:cs="宋体"/>
                <w:b/>
                <w:sz w:val="28"/>
                <w:szCs w:val="24"/>
                <w:highlight w:val="none"/>
              </w:rPr>
            </w:pPr>
            <w:r>
              <w:rPr>
                <w:rFonts w:hint="eastAsia" w:ascii="宋体" w:hAnsi="宋体" w:cs="宋体"/>
                <w:b/>
                <w:sz w:val="28"/>
                <w:szCs w:val="24"/>
                <w:highlight w:val="none"/>
              </w:rPr>
              <w:t>检查项</w:t>
            </w:r>
          </w:p>
        </w:tc>
        <w:tc>
          <w:tcPr>
            <w:tcW w:w="2799" w:type="dxa"/>
            <w:noWrap w:val="0"/>
            <w:vAlign w:val="center"/>
          </w:tcPr>
          <w:p w14:paraId="0F98A8FE">
            <w:pPr>
              <w:spacing w:line="560" w:lineRule="exact"/>
              <w:jc w:val="center"/>
              <w:rPr>
                <w:rFonts w:hint="eastAsia" w:ascii="宋体" w:hAnsi="宋体" w:cs="宋体"/>
                <w:b/>
                <w:sz w:val="28"/>
                <w:szCs w:val="24"/>
                <w:highlight w:val="none"/>
              </w:rPr>
            </w:pPr>
            <w:r>
              <w:rPr>
                <w:rFonts w:hint="eastAsia" w:ascii="宋体" w:hAnsi="宋体" w:cs="宋体"/>
                <w:b/>
                <w:sz w:val="28"/>
                <w:szCs w:val="24"/>
                <w:highlight w:val="none"/>
              </w:rPr>
              <w:t>检查形式</w:t>
            </w:r>
          </w:p>
        </w:tc>
        <w:tc>
          <w:tcPr>
            <w:tcW w:w="2985" w:type="dxa"/>
            <w:noWrap/>
            <w:vAlign w:val="center"/>
          </w:tcPr>
          <w:p w14:paraId="22F799B2">
            <w:pPr>
              <w:spacing w:line="560" w:lineRule="exact"/>
              <w:jc w:val="center"/>
              <w:rPr>
                <w:rFonts w:hint="eastAsia" w:ascii="宋体" w:hAnsi="宋体" w:cs="宋体"/>
                <w:b/>
                <w:sz w:val="28"/>
                <w:szCs w:val="24"/>
                <w:highlight w:val="none"/>
              </w:rPr>
            </w:pPr>
            <w:r>
              <w:rPr>
                <w:rFonts w:hint="eastAsia" w:ascii="宋体" w:hAnsi="宋体" w:cs="宋体"/>
                <w:b/>
                <w:sz w:val="28"/>
                <w:szCs w:val="24"/>
                <w:highlight w:val="none"/>
              </w:rPr>
              <w:t>主检部门</w:t>
            </w:r>
          </w:p>
        </w:tc>
        <w:tc>
          <w:tcPr>
            <w:tcW w:w="1440" w:type="dxa"/>
            <w:noWrap/>
            <w:vAlign w:val="center"/>
          </w:tcPr>
          <w:p w14:paraId="71717B1F">
            <w:pPr>
              <w:spacing w:line="560" w:lineRule="exact"/>
              <w:jc w:val="center"/>
              <w:rPr>
                <w:rFonts w:hint="eastAsia" w:ascii="宋体" w:hAnsi="宋体" w:cs="宋体"/>
                <w:b/>
                <w:sz w:val="28"/>
                <w:szCs w:val="24"/>
                <w:highlight w:val="none"/>
              </w:rPr>
            </w:pPr>
            <w:r>
              <w:rPr>
                <w:rFonts w:hint="eastAsia" w:ascii="宋体" w:hAnsi="宋体" w:cs="宋体"/>
                <w:b/>
                <w:sz w:val="28"/>
                <w:szCs w:val="24"/>
                <w:highlight w:val="none"/>
              </w:rPr>
              <w:t>配合部门</w:t>
            </w:r>
          </w:p>
        </w:tc>
        <w:tc>
          <w:tcPr>
            <w:tcW w:w="1281" w:type="dxa"/>
            <w:noWrap/>
            <w:vAlign w:val="center"/>
          </w:tcPr>
          <w:p w14:paraId="51EDE69F">
            <w:pPr>
              <w:spacing w:line="560" w:lineRule="exact"/>
              <w:jc w:val="center"/>
              <w:rPr>
                <w:rFonts w:hint="eastAsia" w:ascii="宋体" w:hAnsi="宋体" w:cs="宋体"/>
                <w:b/>
                <w:sz w:val="28"/>
                <w:szCs w:val="24"/>
                <w:highlight w:val="none"/>
              </w:rPr>
            </w:pPr>
            <w:r>
              <w:rPr>
                <w:rFonts w:hint="eastAsia" w:ascii="宋体" w:hAnsi="宋体" w:cs="宋体"/>
                <w:b/>
                <w:sz w:val="28"/>
                <w:szCs w:val="24"/>
                <w:highlight w:val="none"/>
              </w:rPr>
              <w:t>备注</w:t>
            </w:r>
          </w:p>
        </w:tc>
      </w:tr>
      <w:tr w14:paraId="6332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986" w:type="dxa"/>
            <w:noWrap w:val="0"/>
            <w:vAlign w:val="center"/>
          </w:tcPr>
          <w:p w14:paraId="48B6ADAA">
            <w:pPr>
              <w:spacing w:line="400" w:lineRule="exact"/>
              <w:jc w:val="center"/>
              <w:rPr>
                <w:rFonts w:hint="eastAsia" w:ascii="宋体" w:hAnsi="宋体" w:cs="宋体"/>
                <w:bCs/>
                <w:sz w:val="28"/>
                <w:szCs w:val="24"/>
                <w:highlight w:val="none"/>
              </w:rPr>
            </w:pPr>
            <w:r>
              <w:rPr>
                <w:rFonts w:hint="eastAsia" w:ascii="宋体" w:hAnsi="宋体" w:cs="宋体"/>
                <w:bCs/>
                <w:sz w:val="28"/>
                <w:szCs w:val="24"/>
                <w:highlight w:val="none"/>
              </w:rPr>
              <w:t>EPC总承包</w:t>
            </w:r>
          </w:p>
        </w:tc>
        <w:tc>
          <w:tcPr>
            <w:tcW w:w="3692" w:type="dxa"/>
            <w:noWrap w:val="0"/>
            <w:vAlign w:val="center"/>
          </w:tcPr>
          <w:p w14:paraId="0D0A2A67">
            <w:pPr>
              <w:spacing w:line="400" w:lineRule="exact"/>
              <w:jc w:val="center"/>
              <w:rPr>
                <w:rFonts w:hint="eastAsia" w:ascii="宋体" w:hAnsi="宋体" w:cs="宋体"/>
                <w:bCs/>
                <w:sz w:val="28"/>
                <w:szCs w:val="24"/>
                <w:highlight w:val="none"/>
              </w:rPr>
            </w:pPr>
            <w:r>
              <w:rPr>
                <w:rFonts w:hint="eastAsia" w:ascii="宋体" w:hAnsi="宋体" w:cs="宋体"/>
                <w:sz w:val="28"/>
                <w:szCs w:val="24"/>
                <w:highlight w:val="none"/>
              </w:rPr>
              <w:t>第三方图纸审查执行情况</w:t>
            </w:r>
          </w:p>
        </w:tc>
        <w:tc>
          <w:tcPr>
            <w:tcW w:w="2799" w:type="dxa"/>
            <w:noWrap w:val="0"/>
            <w:vAlign w:val="center"/>
          </w:tcPr>
          <w:p w14:paraId="5E70EBFF">
            <w:pPr>
              <w:spacing w:line="400" w:lineRule="exact"/>
              <w:jc w:val="center"/>
              <w:rPr>
                <w:rFonts w:hint="eastAsia" w:ascii="宋体" w:hAnsi="宋体" w:cs="宋体"/>
                <w:bCs/>
                <w:sz w:val="28"/>
                <w:szCs w:val="24"/>
                <w:highlight w:val="none"/>
              </w:rPr>
            </w:pPr>
            <w:r>
              <w:rPr>
                <w:rFonts w:hint="eastAsia" w:ascii="宋体" w:hAnsi="宋体" w:cs="宋体"/>
                <w:sz w:val="28"/>
                <w:szCs w:val="24"/>
                <w:highlight w:val="none"/>
              </w:rPr>
              <w:t>审查图纸报告</w:t>
            </w:r>
          </w:p>
        </w:tc>
        <w:tc>
          <w:tcPr>
            <w:tcW w:w="2985" w:type="dxa"/>
            <w:noWrap/>
            <w:vAlign w:val="center"/>
          </w:tcPr>
          <w:p w14:paraId="3733CBEB">
            <w:pPr>
              <w:spacing w:line="400" w:lineRule="exact"/>
              <w:jc w:val="center"/>
              <w:rPr>
                <w:rFonts w:hint="eastAsia" w:ascii="宋体" w:hAnsi="宋体" w:cs="宋体"/>
                <w:bCs/>
                <w:sz w:val="28"/>
                <w:szCs w:val="24"/>
                <w:highlight w:val="none"/>
              </w:rPr>
            </w:pPr>
            <w:r>
              <w:rPr>
                <w:rFonts w:hint="eastAsia" w:ascii="宋体" w:hAnsi="宋体" w:cs="宋体"/>
                <w:bCs/>
                <w:sz w:val="28"/>
                <w:szCs w:val="24"/>
                <w:highlight w:val="none"/>
              </w:rPr>
              <w:t>技术部</w:t>
            </w:r>
          </w:p>
        </w:tc>
        <w:tc>
          <w:tcPr>
            <w:tcW w:w="1440" w:type="dxa"/>
            <w:noWrap/>
            <w:vAlign w:val="center"/>
          </w:tcPr>
          <w:p w14:paraId="6CF49437">
            <w:pPr>
              <w:spacing w:line="400" w:lineRule="exact"/>
              <w:jc w:val="center"/>
              <w:rPr>
                <w:rFonts w:hint="eastAsia" w:ascii="宋体" w:hAnsi="宋体" w:cs="宋体"/>
                <w:bCs/>
                <w:sz w:val="28"/>
                <w:szCs w:val="24"/>
                <w:highlight w:val="none"/>
              </w:rPr>
            </w:pPr>
            <w:r>
              <w:rPr>
                <w:rFonts w:hint="eastAsia" w:ascii="宋体" w:hAnsi="宋体" w:cs="宋体"/>
                <w:bCs/>
                <w:sz w:val="28"/>
                <w:szCs w:val="24"/>
                <w:highlight w:val="none"/>
              </w:rPr>
              <w:t>/</w:t>
            </w:r>
          </w:p>
        </w:tc>
        <w:tc>
          <w:tcPr>
            <w:tcW w:w="1281" w:type="dxa"/>
            <w:noWrap/>
            <w:vAlign w:val="center"/>
          </w:tcPr>
          <w:p w14:paraId="7CAE08AB">
            <w:pPr>
              <w:spacing w:line="400" w:lineRule="exact"/>
              <w:jc w:val="center"/>
              <w:rPr>
                <w:rFonts w:hint="eastAsia" w:ascii="宋体" w:hAnsi="宋体" w:cs="宋体"/>
                <w:bCs/>
                <w:sz w:val="28"/>
                <w:szCs w:val="24"/>
                <w:highlight w:val="none"/>
              </w:rPr>
            </w:pPr>
          </w:p>
        </w:tc>
      </w:tr>
      <w:tr w14:paraId="6B48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restart"/>
            <w:noWrap/>
            <w:vAlign w:val="center"/>
          </w:tcPr>
          <w:p w14:paraId="0C1F28DF">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城镇</w:t>
            </w:r>
          </w:p>
          <w:p w14:paraId="7BD453C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道路（含绿道）</w:t>
            </w:r>
          </w:p>
          <w:p w14:paraId="6D9C8102">
            <w:pPr>
              <w:spacing w:line="400" w:lineRule="exact"/>
              <w:ind w:firstLine="560" w:firstLineChars="200"/>
              <w:jc w:val="center"/>
              <w:rPr>
                <w:rFonts w:hint="eastAsia" w:ascii="宋体" w:hAnsi="宋体" w:cs="宋体"/>
                <w:sz w:val="28"/>
                <w:szCs w:val="24"/>
                <w:highlight w:val="none"/>
              </w:rPr>
            </w:pPr>
          </w:p>
          <w:p w14:paraId="1A2309C4">
            <w:pPr>
              <w:spacing w:line="400" w:lineRule="exact"/>
              <w:ind w:firstLine="560" w:firstLineChars="200"/>
              <w:jc w:val="center"/>
              <w:rPr>
                <w:rFonts w:hint="eastAsia" w:ascii="宋体" w:hAnsi="宋体" w:cs="宋体"/>
                <w:sz w:val="28"/>
                <w:szCs w:val="24"/>
                <w:highlight w:val="none"/>
              </w:rPr>
            </w:pPr>
          </w:p>
        </w:tc>
        <w:tc>
          <w:tcPr>
            <w:tcW w:w="3692" w:type="dxa"/>
            <w:noWrap/>
            <w:vAlign w:val="center"/>
          </w:tcPr>
          <w:p w14:paraId="4B6974B1">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开工前安全、质量、文明施工内外业准备工作验收检查</w:t>
            </w:r>
          </w:p>
        </w:tc>
        <w:tc>
          <w:tcPr>
            <w:tcW w:w="2799" w:type="dxa"/>
            <w:noWrap w:val="0"/>
            <w:vAlign w:val="center"/>
          </w:tcPr>
          <w:p w14:paraId="603373AA">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现场检查/内业资料</w:t>
            </w:r>
          </w:p>
        </w:tc>
        <w:tc>
          <w:tcPr>
            <w:tcW w:w="2985" w:type="dxa"/>
            <w:noWrap/>
            <w:vAlign w:val="center"/>
          </w:tcPr>
          <w:p w14:paraId="736856FC">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质量安全中心</w:t>
            </w:r>
          </w:p>
        </w:tc>
        <w:tc>
          <w:tcPr>
            <w:tcW w:w="1440" w:type="dxa"/>
            <w:vMerge w:val="restart"/>
            <w:noWrap/>
            <w:vAlign w:val="center"/>
          </w:tcPr>
          <w:p w14:paraId="283A912E">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道路项目部</w:t>
            </w:r>
          </w:p>
        </w:tc>
        <w:tc>
          <w:tcPr>
            <w:tcW w:w="1281" w:type="dxa"/>
            <w:vMerge w:val="restart"/>
            <w:noWrap/>
            <w:vAlign w:val="center"/>
          </w:tcPr>
          <w:p w14:paraId="32EEEBD1">
            <w:pPr>
              <w:spacing w:line="400" w:lineRule="exact"/>
              <w:ind w:firstLine="560" w:firstLineChars="200"/>
              <w:jc w:val="center"/>
              <w:rPr>
                <w:rFonts w:hint="eastAsia" w:ascii="宋体" w:hAnsi="宋体" w:cs="宋体"/>
                <w:sz w:val="28"/>
                <w:szCs w:val="24"/>
                <w:highlight w:val="none"/>
              </w:rPr>
            </w:pPr>
          </w:p>
        </w:tc>
      </w:tr>
      <w:tr w14:paraId="49CF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ign w:val="center"/>
          </w:tcPr>
          <w:p w14:paraId="28072996">
            <w:pPr>
              <w:spacing w:line="400" w:lineRule="exact"/>
              <w:jc w:val="center"/>
              <w:rPr>
                <w:rFonts w:hint="eastAsia" w:ascii="宋体" w:hAnsi="宋体" w:cs="宋体"/>
                <w:sz w:val="28"/>
                <w:szCs w:val="24"/>
                <w:highlight w:val="none"/>
              </w:rPr>
            </w:pPr>
          </w:p>
        </w:tc>
        <w:tc>
          <w:tcPr>
            <w:tcW w:w="3692" w:type="dxa"/>
            <w:noWrap/>
            <w:vAlign w:val="center"/>
          </w:tcPr>
          <w:p w14:paraId="639E8A0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隐蔽工程检查（管网闭水试验、路床弯沉值检测）</w:t>
            </w:r>
          </w:p>
        </w:tc>
        <w:tc>
          <w:tcPr>
            <w:tcW w:w="2799" w:type="dxa"/>
            <w:noWrap w:val="0"/>
            <w:vAlign w:val="center"/>
          </w:tcPr>
          <w:p w14:paraId="3EF0C4F1">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内业资料/检测报告</w:t>
            </w:r>
          </w:p>
        </w:tc>
        <w:tc>
          <w:tcPr>
            <w:tcW w:w="2985" w:type="dxa"/>
            <w:noWrap/>
            <w:vAlign w:val="center"/>
          </w:tcPr>
          <w:p w14:paraId="7E191E7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质量安全中心</w:t>
            </w:r>
          </w:p>
        </w:tc>
        <w:tc>
          <w:tcPr>
            <w:tcW w:w="1440" w:type="dxa"/>
            <w:vMerge w:val="continue"/>
            <w:noWrap/>
            <w:vAlign w:val="center"/>
          </w:tcPr>
          <w:p w14:paraId="5F868887">
            <w:pPr>
              <w:spacing w:line="400" w:lineRule="exact"/>
              <w:jc w:val="center"/>
              <w:rPr>
                <w:rFonts w:hint="eastAsia" w:ascii="宋体" w:hAnsi="宋体" w:cs="宋体"/>
                <w:sz w:val="28"/>
                <w:szCs w:val="24"/>
                <w:highlight w:val="none"/>
              </w:rPr>
            </w:pPr>
          </w:p>
        </w:tc>
        <w:tc>
          <w:tcPr>
            <w:tcW w:w="1281" w:type="dxa"/>
            <w:vMerge w:val="continue"/>
            <w:noWrap/>
            <w:vAlign w:val="center"/>
          </w:tcPr>
          <w:p w14:paraId="6579F8A4">
            <w:pPr>
              <w:spacing w:line="400" w:lineRule="exact"/>
              <w:ind w:firstLine="560" w:firstLineChars="200"/>
              <w:jc w:val="center"/>
              <w:rPr>
                <w:rFonts w:hint="eastAsia" w:ascii="宋体" w:hAnsi="宋体" w:cs="宋体"/>
                <w:sz w:val="28"/>
                <w:szCs w:val="24"/>
                <w:highlight w:val="none"/>
              </w:rPr>
            </w:pPr>
          </w:p>
        </w:tc>
      </w:tr>
      <w:tr w14:paraId="65C4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ign w:val="center"/>
          </w:tcPr>
          <w:p w14:paraId="1B5FA0C9">
            <w:pPr>
              <w:spacing w:line="400" w:lineRule="exact"/>
              <w:jc w:val="center"/>
              <w:rPr>
                <w:rFonts w:hint="eastAsia" w:ascii="宋体" w:hAnsi="宋体" w:cs="宋体"/>
                <w:sz w:val="28"/>
                <w:szCs w:val="24"/>
                <w:highlight w:val="none"/>
              </w:rPr>
            </w:pPr>
          </w:p>
        </w:tc>
        <w:tc>
          <w:tcPr>
            <w:tcW w:w="3692" w:type="dxa"/>
            <w:noWrap/>
            <w:vAlign w:val="center"/>
          </w:tcPr>
          <w:p w14:paraId="146F1197">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路灯</w:t>
            </w:r>
          </w:p>
        </w:tc>
        <w:tc>
          <w:tcPr>
            <w:tcW w:w="2799" w:type="dxa"/>
            <w:noWrap w:val="0"/>
            <w:vAlign w:val="center"/>
          </w:tcPr>
          <w:p w14:paraId="72744882">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现场检查</w:t>
            </w:r>
          </w:p>
        </w:tc>
        <w:tc>
          <w:tcPr>
            <w:tcW w:w="2985" w:type="dxa"/>
            <w:noWrap/>
            <w:vAlign w:val="center"/>
          </w:tcPr>
          <w:p w14:paraId="2CF09D47">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工程管理部/技术部/合同预算部/质量安全中心</w:t>
            </w:r>
          </w:p>
        </w:tc>
        <w:tc>
          <w:tcPr>
            <w:tcW w:w="1440" w:type="dxa"/>
            <w:vMerge w:val="continue"/>
            <w:noWrap/>
            <w:vAlign w:val="center"/>
          </w:tcPr>
          <w:p w14:paraId="72D32C89">
            <w:pPr>
              <w:spacing w:line="400" w:lineRule="exact"/>
              <w:jc w:val="center"/>
              <w:rPr>
                <w:rFonts w:hint="eastAsia" w:ascii="宋体" w:hAnsi="宋体" w:cs="宋体"/>
                <w:sz w:val="28"/>
                <w:szCs w:val="24"/>
                <w:highlight w:val="none"/>
              </w:rPr>
            </w:pPr>
          </w:p>
        </w:tc>
        <w:tc>
          <w:tcPr>
            <w:tcW w:w="1281" w:type="dxa"/>
            <w:vMerge w:val="continue"/>
            <w:noWrap/>
            <w:vAlign w:val="center"/>
          </w:tcPr>
          <w:p w14:paraId="5F00CA40">
            <w:pPr>
              <w:spacing w:line="400" w:lineRule="exact"/>
              <w:ind w:firstLine="560" w:firstLineChars="200"/>
              <w:jc w:val="center"/>
              <w:rPr>
                <w:rFonts w:hint="eastAsia" w:ascii="宋体" w:hAnsi="宋体" w:cs="宋体"/>
                <w:sz w:val="28"/>
                <w:szCs w:val="24"/>
                <w:highlight w:val="none"/>
              </w:rPr>
            </w:pPr>
          </w:p>
        </w:tc>
      </w:tr>
      <w:tr w14:paraId="2AC1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6" w:type="dxa"/>
            <w:vMerge w:val="continue"/>
            <w:noWrap w:val="0"/>
            <w:vAlign w:val="center"/>
          </w:tcPr>
          <w:p w14:paraId="35EA8272">
            <w:pPr>
              <w:spacing w:line="400" w:lineRule="exact"/>
              <w:ind w:firstLine="560" w:firstLineChars="200"/>
              <w:jc w:val="center"/>
              <w:rPr>
                <w:rFonts w:hint="eastAsia" w:ascii="宋体" w:hAnsi="宋体" w:cs="宋体"/>
                <w:sz w:val="28"/>
                <w:szCs w:val="24"/>
                <w:highlight w:val="none"/>
              </w:rPr>
            </w:pPr>
          </w:p>
        </w:tc>
        <w:tc>
          <w:tcPr>
            <w:tcW w:w="3692" w:type="dxa"/>
            <w:vMerge w:val="restart"/>
            <w:noWrap/>
            <w:vAlign w:val="center"/>
          </w:tcPr>
          <w:p w14:paraId="7996038E">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铺细油前核查验收</w:t>
            </w:r>
          </w:p>
        </w:tc>
        <w:tc>
          <w:tcPr>
            <w:tcW w:w="2799" w:type="dxa"/>
            <w:noWrap w:val="0"/>
            <w:vAlign w:val="center"/>
          </w:tcPr>
          <w:p w14:paraId="2123DDFD">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功能完整性检查/自检报告</w:t>
            </w:r>
          </w:p>
        </w:tc>
        <w:tc>
          <w:tcPr>
            <w:tcW w:w="2985" w:type="dxa"/>
            <w:noWrap/>
            <w:vAlign w:val="center"/>
          </w:tcPr>
          <w:p w14:paraId="010B5146">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工程管理部/质量安全中心</w:t>
            </w:r>
          </w:p>
        </w:tc>
        <w:tc>
          <w:tcPr>
            <w:tcW w:w="1440" w:type="dxa"/>
            <w:vMerge w:val="continue"/>
            <w:noWrap/>
            <w:vAlign w:val="center"/>
          </w:tcPr>
          <w:p w14:paraId="6549B716">
            <w:pPr>
              <w:spacing w:line="400" w:lineRule="exact"/>
              <w:jc w:val="center"/>
              <w:rPr>
                <w:rFonts w:hint="eastAsia" w:ascii="宋体" w:hAnsi="宋体" w:cs="宋体"/>
                <w:sz w:val="28"/>
                <w:szCs w:val="24"/>
                <w:highlight w:val="none"/>
              </w:rPr>
            </w:pPr>
          </w:p>
        </w:tc>
        <w:tc>
          <w:tcPr>
            <w:tcW w:w="1281" w:type="dxa"/>
            <w:vMerge w:val="continue"/>
            <w:noWrap/>
            <w:vAlign w:val="center"/>
          </w:tcPr>
          <w:p w14:paraId="5EA0722B">
            <w:pPr>
              <w:spacing w:line="400" w:lineRule="exact"/>
              <w:ind w:firstLine="560" w:firstLineChars="200"/>
              <w:jc w:val="center"/>
              <w:rPr>
                <w:rFonts w:hint="eastAsia" w:ascii="宋体" w:hAnsi="宋体" w:cs="宋体"/>
                <w:sz w:val="28"/>
                <w:szCs w:val="24"/>
                <w:highlight w:val="none"/>
              </w:rPr>
            </w:pPr>
          </w:p>
        </w:tc>
      </w:tr>
      <w:tr w14:paraId="5B04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86" w:type="dxa"/>
            <w:vMerge w:val="continue"/>
            <w:noWrap w:val="0"/>
            <w:vAlign w:val="center"/>
          </w:tcPr>
          <w:p w14:paraId="04BE2E7F">
            <w:pPr>
              <w:spacing w:line="400" w:lineRule="exact"/>
              <w:ind w:firstLine="560" w:firstLineChars="200"/>
              <w:jc w:val="center"/>
              <w:rPr>
                <w:rFonts w:hint="eastAsia" w:ascii="宋体" w:hAnsi="宋体" w:cs="宋体"/>
                <w:sz w:val="28"/>
                <w:szCs w:val="24"/>
                <w:highlight w:val="none"/>
              </w:rPr>
            </w:pPr>
          </w:p>
        </w:tc>
        <w:tc>
          <w:tcPr>
            <w:tcW w:w="3692" w:type="dxa"/>
            <w:vMerge w:val="continue"/>
            <w:noWrap/>
            <w:vAlign w:val="center"/>
          </w:tcPr>
          <w:p w14:paraId="51C99134">
            <w:pPr>
              <w:spacing w:line="400" w:lineRule="exact"/>
              <w:ind w:firstLine="560" w:firstLineChars="200"/>
              <w:jc w:val="center"/>
              <w:rPr>
                <w:rFonts w:hint="eastAsia" w:ascii="宋体" w:hAnsi="宋体" w:cs="宋体"/>
                <w:sz w:val="28"/>
                <w:szCs w:val="24"/>
                <w:highlight w:val="none"/>
              </w:rPr>
            </w:pPr>
          </w:p>
        </w:tc>
        <w:tc>
          <w:tcPr>
            <w:tcW w:w="2799" w:type="dxa"/>
            <w:noWrap w:val="0"/>
            <w:vAlign w:val="center"/>
          </w:tcPr>
          <w:p w14:paraId="5885E3CC">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管线预留、预埋情况/设计效果</w:t>
            </w:r>
          </w:p>
        </w:tc>
        <w:tc>
          <w:tcPr>
            <w:tcW w:w="2985" w:type="dxa"/>
            <w:noWrap/>
            <w:vAlign w:val="center"/>
          </w:tcPr>
          <w:p w14:paraId="7DD13694">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技术部</w:t>
            </w:r>
          </w:p>
        </w:tc>
        <w:tc>
          <w:tcPr>
            <w:tcW w:w="1440" w:type="dxa"/>
            <w:vMerge w:val="continue"/>
            <w:noWrap/>
            <w:vAlign w:val="center"/>
          </w:tcPr>
          <w:p w14:paraId="4D27E35B">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18F8DCE7">
            <w:pPr>
              <w:spacing w:line="400" w:lineRule="exact"/>
              <w:ind w:firstLine="560" w:firstLineChars="200"/>
              <w:jc w:val="center"/>
              <w:rPr>
                <w:rFonts w:hint="eastAsia" w:ascii="宋体" w:hAnsi="宋体" w:cs="宋体"/>
                <w:sz w:val="28"/>
                <w:szCs w:val="24"/>
                <w:highlight w:val="none"/>
              </w:rPr>
            </w:pPr>
          </w:p>
        </w:tc>
      </w:tr>
      <w:tr w14:paraId="7687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48A71A4A">
            <w:pPr>
              <w:spacing w:line="400" w:lineRule="exact"/>
              <w:ind w:firstLine="560" w:firstLineChars="200"/>
              <w:jc w:val="center"/>
              <w:rPr>
                <w:rFonts w:hint="eastAsia" w:ascii="宋体" w:hAnsi="宋体" w:cs="宋体"/>
                <w:sz w:val="28"/>
                <w:szCs w:val="24"/>
                <w:highlight w:val="none"/>
              </w:rPr>
            </w:pPr>
          </w:p>
        </w:tc>
        <w:tc>
          <w:tcPr>
            <w:tcW w:w="3692" w:type="dxa"/>
            <w:vMerge w:val="continue"/>
            <w:noWrap/>
            <w:vAlign w:val="center"/>
          </w:tcPr>
          <w:p w14:paraId="6EE73484">
            <w:pPr>
              <w:spacing w:line="400" w:lineRule="exact"/>
              <w:ind w:firstLine="560" w:firstLineChars="200"/>
              <w:jc w:val="center"/>
              <w:rPr>
                <w:rFonts w:hint="eastAsia" w:ascii="宋体" w:hAnsi="宋体" w:cs="宋体"/>
                <w:sz w:val="28"/>
                <w:szCs w:val="24"/>
                <w:highlight w:val="none"/>
              </w:rPr>
            </w:pPr>
          </w:p>
        </w:tc>
        <w:tc>
          <w:tcPr>
            <w:tcW w:w="2799" w:type="dxa"/>
            <w:noWrap w:val="0"/>
            <w:vAlign w:val="center"/>
          </w:tcPr>
          <w:p w14:paraId="3602C198">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合同履约情况</w:t>
            </w:r>
          </w:p>
        </w:tc>
        <w:tc>
          <w:tcPr>
            <w:tcW w:w="2985" w:type="dxa"/>
            <w:noWrap/>
            <w:vAlign w:val="center"/>
          </w:tcPr>
          <w:p w14:paraId="650BED75">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合同预算部</w:t>
            </w:r>
          </w:p>
        </w:tc>
        <w:tc>
          <w:tcPr>
            <w:tcW w:w="1440" w:type="dxa"/>
            <w:vMerge w:val="continue"/>
            <w:noWrap/>
            <w:vAlign w:val="center"/>
          </w:tcPr>
          <w:p w14:paraId="4B58E3DA">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4F8AD5B7">
            <w:pPr>
              <w:spacing w:line="400" w:lineRule="exact"/>
              <w:ind w:firstLine="560" w:firstLineChars="200"/>
              <w:jc w:val="center"/>
              <w:rPr>
                <w:rFonts w:hint="eastAsia" w:ascii="宋体" w:hAnsi="宋体" w:cs="宋体"/>
                <w:sz w:val="28"/>
                <w:szCs w:val="24"/>
                <w:highlight w:val="none"/>
              </w:rPr>
            </w:pPr>
          </w:p>
        </w:tc>
      </w:tr>
      <w:tr w14:paraId="5F93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86" w:type="dxa"/>
            <w:vMerge w:val="restart"/>
            <w:noWrap/>
            <w:vAlign w:val="center"/>
          </w:tcPr>
          <w:p w14:paraId="2786CECD">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基</w:t>
            </w:r>
          </w:p>
          <w:p w14:paraId="35C4B169">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建</w:t>
            </w:r>
          </w:p>
          <w:p w14:paraId="79F66FD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箱</w:t>
            </w:r>
          </w:p>
          <w:p w14:paraId="595B37AA">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变</w:t>
            </w:r>
          </w:p>
        </w:tc>
        <w:tc>
          <w:tcPr>
            <w:tcW w:w="3692" w:type="dxa"/>
            <w:noWrap w:val="0"/>
            <w:vAlign w:val="center"/>
          </w:tcPr>
          <w:p w14:paraId="21651789">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基础</w:t>
            </w:r>
          </w:p>
        </w:tc>
        <w:tc>
          <w:tcPr>
            <w:tcW w:w="2799" w:type="dxa"/>
            <w:noWrap w:val="0"/>
            <w:vAlign w:val="center"/>
          </w:tcPr>
          <w:p w14:paraId="3809FA12">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基础接地</w:t>
            </w:r>
          </w:p>
        </w:tc>
        <w:tc>
          <w:tcPr>
            <w:tcW w:w="2985" w:type="dxa"/>
            <w:noWrap/>
            <w:vAlign w:val="center"/>
          </w:tcPr>
          <w:p w14:paraId="78E540E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质量安全中心</w:t>
            </w:r>
          </w:p>
        </w:tc>
        <w:tc>
          <w:tcPr>
            <w:tcW w:w="1440" w:type="dxa"/>
            <w:vMerge w:val="restart"/>
            <w:noWrap/>
            <w:vAlign w:val="center"/>
          </w:tcPr>
          <w:p w14:paraId="70CF093F">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企业服务部</w:t>
            </w:r>
          </w:p>
        </w:tc>
        <w:tc>
          <w:tcPr>
            <w:tcW w:w="1281" w:type="dxa"/>
            <w:vMerge w:val="restart"/>
            <w:noWrap/>
            <w:vAlign w:val="center"/>
          </w:tcPr>
          <w:p w14:paraId="643D78C8">
            <w:pPr>
              <w:spacing w:line="400" w:lineRule="exact"/>
              <w:ind w:firstLine="560" w:firstLineChars="200"/>
              <w:jc w:val="center"/>
              <w:rPr>
                <w:rFonts w:hint="eastAsia" w:ascii="宋体" w:hAnsi="宋体" w:cs="宋体"/>
                <w:sz w:val="28"/>
                <w:szCs w:val="24"/>
                <w:highlight w:val="none"/>
              </w:rPr>
            </w:pPr>
          </w:p>
        </w:tc>
      </w:tr>
      <w:tr w14:paraId="34E0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86" w:type="dxa"/>
            <w:vMerge w:val="continue"/>
            <w:noWrap w:val="0"/>
            <w:vAlign w:val="center"/>
          </w:tcPr>
          <w:p w14:paraId="21E4421B">
            <w:pPr>
              <w:spacing w:line="400" w:lineRule="exact"/>
              <w:ind w:firstLine="560" w:firstLineChars="200"/>
              <w:jc w:val="center"/>
              <w:rPr>
                <w:rFonts w:hint="eastAsia" w:ascii="宋体" w:hAnsi="宋体" w:cs="宋体"/>
                <w:sz w:val="28"/>
                <w:szCs w:val="24"/>
                <w:highlight w:val="none"/>
              </w:rPr>
            </w:pPr>
          </w:p>
        </w:tc>
        <w:tc>
          <w:tcPr>
            <w:tcW w:w="3692" w:type="dxa"/>
            <w:vMerge w:val="restart"/>
            <w:noWrap w:val="0"/>
            <w:vAlign w:val="center"/>
          </w:tcPr>
          <w:p w14:paraId="4E31DD43">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箱变本体及安装调试</w:t>
            </w:r>
          </w:p>
        </w:tc>
        <w:tc>
          <w:tcPr>
            <w:tcW w:w="2799" w:type="dxa"/>
            <w:noWrap w:val="0"/>
            <w:vAlign w:val="center"/>
          </w:tcPr>
          <w:p w14:paraId="02170A61">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功能完整性检查/设备实验合格报告</w:t>
            </w:r>
          </w:p>
        </w:tc>
        <w:tc>
          <w:tcPr>
            <w:tcW w:w="2985" w:type="dxa"/>
            <w:noWrap/>
            <w:vAlign w:val="center"/>
          </w:tcPr>
          <w:p w14:paraId="21460A25">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工程管理部/技术部/质量安全中心</w:t>
            </w:r>
          </w:p>
        </w:tc>
        <w:tc>
          <w:tcPr>
            <w:tcW w:w="1440" w:type="dxa"/>
            <w:vMerge w:val="continue"/>
            <w:noWrap/>
            <w:vAlign w:val="center"/>
          </w:tcPr>
          <w:p w14:paraId="6B2B81A7">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09123AAE">
            <w:pPr>
              <w:spacing w:line="400" w:lineRule="exact"/>
              <w:ind w:firstLine="560" w:firstLineChars="200"/>
              <w:jc w:val="center"/>
              <w:rPr>
                <w:rFonts w:hint="eastAsia" w:ascii="宋体" w:hAnsi="宋体" w:cs="宋体"/>
                <w:sz w:val="28"/>
                <w:szCs w:val="24"/>
                <w:highlight w:val="none"/>
              </w:rPr>
            </w:pPr>
          </w:p>
        </w:tc>
      </w:tr>
      <w:tr w14:paraId="3574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86" w:type="dxa"/>
            <w:vMerge w:val="continue"/>
            <w:noWrap w:val="0"/>
            <w:vAlign w:val="center"/>
          </w:tcPr>
          <w:p w14:paraId="3D2EE34D">
            <w:pPr>
              <w:spacing w:line="400" w:lineRule="exact"/>
              <w:ind w:firstLine="560" w:firstLineChars="200"/>
              <w:jc w:val="center"/>
              <w:rPr>
                <w:rFonts w:hint="eastAsia" w:ascii="宋体" w:hAnsi="宋体" w:cs="宋体"/>
                <w:sz w:val="28"/>
                <w:szCs w:val="24"/>
                <w:highlight w:val="none"/>
              </w:rPr>
            </w:pPr>
          </w:p>
        </w:tc>
        <w:tc>
          <w:tcPr>
            <w:tcW w:w="3692" w:type="dxa"/>
            <w:vMerge w:val="continue"/>
            <w:noWrap w:val="0"/>
            <w:vAlign w:val="center"/>
          </w:tcPr>
          <w:p w14:paraId="53708ECA">
            <w:pPr>
              <w:spacing w:line="400" w:lineRule="exact"/>
              <w:jc w:val="center"/>
              <w:rPr>
                <w:rFonts w:hint="eastAsia" w:ascii="宋体" w:hAnsi="宋体" w:cs="宋体"/>
                <w:sz w:val="28"/>
                <w:szCs w:val="24"/>
                <w:highlight w:val="none"/>
              </w:rPr>
            </w:pPr>
          </w:p>
        </w:tc>
        <w:tc>
          <w:tcPr>
            <w:tcW w:w="2799" w:type="dxa"/>
            <w:noWrap w:val="0"/>
            <w:vAlign w:val="center"/>
          </w:tcPr>
          <w:p w14:paraId="6FE5BA6F">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合同履约情况</w:t>
            </w:r>
          </w:p>
        </w:tc>
        <w:tc>
          <w:tcPr>
            <w:tcW w:w="2985" w:type="dxa"/>
            <w:noWrap/>
            <w:vAlign w:val="center"/>
          </w:tcPr>
          <w:p w14:paraId="1643358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合同预算部</w:t>
            </w:r>
          </w:p>
        </w:tc>
        <w:tc>
          <w:tcPr>
            <w:tcW w:w="1440" w:type="dxa"/>
            <w:vMerge w:val="continue"/>
            <w:noWrap/>
            <w:vAlign w:val="center"/>
          </w:tcPr>
          <w:p w14:paraId="643E224D">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7B166276">
            <w:pPr>
              <w:spacing w:line="400" w:lineRule="exact"/>
              <w:ind w:firstLine="560" w:firstLineChars="200"/>
              <w:jc w:val="center"/>
              <w:rPr>
                <w:rFonts w:hint="eastAsia" w:ascii="宋体" w:hAnsi="宋体" w:cs="宋体"/>
                <w:sz w:val="28"/>
                <w:szCs w:val="24"/>
                <w:highlight w:val="none"/>
              </w:rPr>
            </w:pPr>
          </w:p>
        </w:tc>
      </w:tr>
      <w:tr w14:paraId="2334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86" w:type="dxa"/>
            <w:vMerge w:val="continue"/>
            <w:noWrap w:val="0"/>
            <w:vAlign w:val="center"/>
          </w:tcPr>
          <w:p w14:paraId="72FFBFC1">
            <w:pPr>
              <w:spacing w:line="400" w:lineRule="exact"/>
              <w:ind w:firstLine="560" w:firstLineChars="200"/>
              <w:jc w:val="center"/>
              <w:rPr>
                <w:rFonts w:hint="eastAsia" w:ascii="宋体" w:hAnsi="宋体" w:cs="宋体"/>
                <w:sz w:val="28"/>
                <w:szCs w:val="24"/>
                <w:highlight w:val="none"/>
              </w:rPr>
            </w:pPr>
          </w:p>
        </w:tc>
        <w:tc>
          <w:tcPr>
            <w:tcW w:w="3692" w:type="dxa"/>
            <w:noWrap w:val="0"/>
            <w:vAlign w:val="center"/>
          </w:tcPr>
          <w:p w14:paraId="182B615E">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外线</w:t>
            </w:r>
          </w:p>
        </w:tc>
        <w:tc>
          <w:tcPr>
            <w:tcW w:w="2799" w:type="dxa"/>
            <w:noWrap w:val="0"/>
            <w:vAlign w:val="center"/>
          </w:tcPr>
          <w:p w14:paraId="21A4D5AC">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产品合格、实验合格</w:t>
            </w:r>
          </w:p>
        </w:tc>
        <w:tc>
          <w:tcPr>
            <w:tcW w:w="2985" w:type="dxa"/>
            <w:noWrap/>
            <w:vAlign w:val="center"/>
          </w:tcPr>
          <w:p w14:paraId="46EF83CA">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质量安全中心</w:t>
            </w:r>
          </w:p>
        </w:tc>
        <w:tc>
          <w:tcPr>
            <w:tcW w:w="1440" w:type="dxa"/>
            <w:vMerge w:val="continue"/>
            <w:noWrap/>
            <w:vAlign w:val="center"/>
          </w:tcPr>
          <w:p w14:paraId="03711AA6">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209610FD">
            <w:pPr>
              <w:spacing w:line="400" w:lineRule="exact"/>
              <w:ind w:firstLine="560" w:firstLineChars="200"/>
              <w:jc w:val="center"/>
              <w:rPr>
                <w:rFonts w:hint="eastAsia" w:ascii="宋体" w:hAnsi="宋体" w:cs="宋体"/>
                <w:sz w:val="28"/>
                <w:szCs w:val="24"/>
                <w:highlight w:val="none"/>
              </w:rPr>
            </w:pPr>
          </w:p>
        </w:tc>
      </w:tr>
      <w:tr w14:paraId="5E1B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986" w:type="dxa"/>
            <w:vMerge w:val="restart"/>
            <w:noWrap/>
            <w:vAlign w:val="center"/>
          </w:tcPr>
          <w:p w14:paraId="727B8C6D">
            <w:pPr>
              <w:spacing w:line="400" w:lineRule="exact"/>
              <w:jc w:val="center"/>
              <w:rPr>
                <w:rFonts w:hint="eastAsia" w:ascii="宋体" w:hAnsi="宋体" w:cs="宋体"/>
                <w:sz w:val="28"/>
                <w:szCs w:val="24"/>
                <w:highlight w:val="none"/>
              </w:rPr>
            </w:pPr>
          </w:p>
          <w:p w14:paraId="5DD536D4">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桥</w:t>
            </w:r>
          </w:p>
          <w:p w14:paraId="1986A1D0">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梁</w:t>
            </w:r>
          </w:p>
        </w:tc>
        <w:tc>
          <w:tcPr>
            <w:tcW w:w="3692" w:type="dxa"/>
            <w:noWrap/>
            <w:vAlign w:val="center"/>
          </w:tcPr>
          <w:p w14:paraId="4E91DB19">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桩基检测</w:t>
            </w:r>
          </w:p>
        </w:tc>
        <w:tc>
          <w:tcPr>
            <w:tcW w:w="2799" w:type="dxa"/>
            <w:noWrap w:val="0"/>
            <w:vAlign w:val="center"/>
          </w:tcPr>
          <w:p w14:paraId="567C8297">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检测报告</w:t>
            </w:r>
          </w:p>
        </w:tc>
        <w:tc>
          <w:tcPr>
            <w:tcW w:w="2985" w:type="dxa"/>
            <w:noWrap/>
            <w:vAlign w:val="center"/>
          </w:tcPr>
          <w:p w14:paraId="02D11A29">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技术部/质量安全中心</w:t>
            </w:r>
          </w:p>
        </w:tc>
        <w:tc>
          <w:tcPr>
            <w:tcW w:w="1440" w:type="dxa"/>
            <w:vMerge w:val="restart"/>
            <w:noWrap/>
            <w:vAlign w:val="center"/>
          </w:tcPr>
          <w:p w14:paraId="1303B064">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城区项目部</w:t>
            </w:r>
          </w:p>
        </w:tc>
        <w:tc>
          <w:tcPr>
            <w:tcW w:w="1281" w:type="dxa"/>
            <w:vMerge w:val="restart"/>
            <w:noWrap/>
            <w:vAlign w:val="center"/>
          </w:tcPr>
          <w:p w14:paraId="588C1A58">
            <w:pPr>
              <w:spacing w:line="400" w:lineRule="exact"/>
              <w:ind w:firstLine="560" w:firstLineChars="200"/>
              <w:jc w:val="center"/>
              <w:rPr>
                <w:rFonts w:hint="eastAsia" w:ascii="宋体" w:hAnsi="宋体" w:cs="宋体"/>
                <w:sz w:val="28"/>
                <w:szCs w:val="24"/>
                <w:highlight w:val="none"/>
              </w:rPr>
            </w:pPr>
          </w:p>
        </w:tc>
      </w:tr>
      <w:tr w14:paraId="72F5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986" w:type="dxa"/>
            <w:vMerge w:val="continue"/>
            <w:noWrap w:val="0"/>
            <w:vAlign w:val="center"/>
          </w:tcPr>
          <w:p w14:paraId="5D3CA602">
            <w:pPr>
              <w:spacing w:line="400" w:lineRule="exact"/>
              <w:ind w:firstLine="560" w:firstLineChars="200"/>
              <w:jc w:val="center"/>
              <w:rPr>
                <w:rFonts w:hint="eastAsia" w:ascii="宋体" w:hAnsi="宋体" w:cs="宋体"/>
                <w:sz w:val="28"/>
                <w:szCs w:val="24"/>
                <w:highlight w:val="none"/>
              </w:rPr>
            </w:pPr>
          </w:p>
        </w:tc>
        <w:tc>
          <w:tcPr>
            <w:tcW w:w="3692" w:type="dxa"/>
            <w:noWrap/>
            <w:vAlign w:val="center"/>
          </w:tcPr>
          <w:p w14:paraId="3D3C8AA1">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静/动荷载</w:t>
            </w:r>
          </w:p>
        </w:tc>
        <w:tc>
          <w:tcPr>
            <w:tcW w:w="2799" w:type="dxa"/>
            <w:noWrap w:val="0"/>
            <w:vAlign w:val="center"/>
          </w:tcPr>
          <w:p w14:paraId="17F3871A">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检测报告</w:t>
            </w:r>
          </w:p>
        </w:tc>
        <w:tc>
          <w:tcPr>
            <w:tcW w:w="2985" w:type="dxa"/>
            <w:noWrap/>
            <w:vAlign w:val="center"/>
          </w:tcPr>
          <w:p w14:paraId="7C62CDF5">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质量安全中心</w:t>
            </w:r>
          </w:p>
        </w:tc>
        <w:tc>
          <w:tcPr>
            <w:tcW w:w="1440" w:type="dxa"/>
            <w:vMerge w:val="continue"/>
            <w:noWrap/>
            <w:vAlign w:val="center"/>
          </w:tcPr>
          <w:p w14:paraId="6625FE22">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0E73E2EF">
            <w:pPr>
              <w:spacing w:line="400" w:lineRule="exact"/>
              <w:ind w:firstLine="560" w:firstLineChars="200"/>
              <w:jc w:val="center"/>
              <w:rPr>
                <w:rFonts w:hint="eastAsia" w:ascii="宋体" w:hAnsi="宋体" w:cs="宋体"/>
                <w:sz w:val="28"/>
                <w:szCs w:val="24"/>
                <w:highlight w:val="none"/>
              </w:rPr>
            </w:pPr>
          </w:p>
        </w:tc>
      </w:tr>
      <w:tr w14:paraId="7E98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restart"/>
            <w:noWrap/>
            <w:vAlign w:val="center"/>
          </w:tcPr>
          <w:p w14:paraId="358F3AB9">
            <w:pPr>
              <w:spacing w:line="400" w:lineRule="exact"/>
              <w:ind w:firstLine="280" w:firstLineChars="100"/>
              <w:rPr>
                <w:rFonts w:hint="eastAsia" w:ascii="宋体" w:hAnsi="宋体" w:cs="宋体"/>
                <w:sz w:val="28"/>
                <w:szCs w:val="24"/>
                <w:highlight w:val="none"/>
              </w:rPr>
            </w:pPr>
            <w:r>
              <w:rPr>
                <w:rFonts w:hint="eastAsia" w:ascii="宋体" w:hAnsi="宋体" w:cs="宋体"/>
                <w:sz w:val="28"/>
                <w:szCs w:val="24"/>
                <w:highlight w:val="none"/>
              </w:rPr>
              <w:t>变</w:t>
            </w:r>
          </w:p>
          <w:p w14:paraId="32611927">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电</w:t>
            </w:r>
          </w:p>
          <w:p w14:paraId="39AC42A2">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站</w:t>
            </w:r>
          </w:p>
        </w:tc>
        <w:tc>
          <w:tcPr>
            <w:tcW w:w="3692" w:type="dxa"/>
            <w:noWrap/>
            <w:vAlign w:val="center"/>
          </w:tcPr>
          <w:p w14:paraId="0FB205F5">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基础接地</w:t>
            </w:r>
          </w:p>
        </w:tc>
        <w:tc>
          <w:tcPr>
            <w:tcW w:w="2799" w:type="dxa"/>
            <w:noWrap w:val="0"/>
            <w:vAlign w:val="center"/>
          </w:tcPr>
          <w:p w14:paraId="42A7FB40">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接地报告</w:t>
            </w:r>
          </w:p>
        </w:tc>
        <w:tc>
          <w:tcPr>
            <w:tcW w:w="2985" w:type="dxa"/>
            <w:noWrap/>
            <w:vAlign w:val="center"/>
          </w:tcPr>
          <w:p w14:paraId="28C2BEC5">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质量安全中心</w:t>
            </w:r>
          </w:p>
        </w:tc>
        <w:tc>
          <w:tcPr>
            <w:tcW w:w="1440" w:type="dxa"/>
            <w:vMerge w:val="restart"/>
            <w:noWrap/>
            <w:vAlign w:val="center"/>
          </w:tcPr>
          <w:p w14:paraId="74893618">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电力建设部</w:t>
            </w:r>
          </w:p>
        </w:tc>
        <w:tc>
          <w:tcPr>
            <w:tcW w:w="1281" w:type="dxa"/>
            <w:vMerge w:val="restart"/>
            <w:noWrap/>
            <w:vAlign w:val="center"/>
          </w:tcPr>
          <w:p w14:paraId="03FF7149">
            <w:pPr>
              <w:spacing w:line="400" w:lineRule="exact"/>
              <w:ind w:firstLine="560" w:firstLineChars="200"/>
              <w:jc w:val="center"/>
              <w:rPr>
                <w:rFonts w:hint="eastAsia" w:ascii="宋体" w:hAnsi="宋体" w:cs="宋体"/>
                <w:sz w:val="28"/>
                <w:szCs w:val="24"/>
                <w:highlight w:val="none"/>
              </w:rPr>
            </w:pPr>
          </w:p>
        </w:tc>
      </w:tr>
      <w:tr w14:paraId="6697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6387B386">
            <w:pPr>
              <w:spacing w:line="400" w:lineRule="exact"/>
              <w:ind w:firstLine="560" w:firstLineChars="200"/>
              <w:jc w:val="center"/>
              <w:rPr>
                <w:rFonts w:hint="eastAsia" w:ascii="宋体" w:hAnsi="宋体" w:cs="宋体"/>
                <w:sz w:val="28"/>
                <w:szCs w:val="24"/>
                <w:highlight w:val="none"/>
              </w:rPr>
            </w:pPr>
          </w:p>
        </w:tc>
        <w:tc>
          <w:tcPr>
            <w:tcW w:w="3692" w:type="dxa"/>
            <w:noWrap/>
            <w:vAlign w:val="center"/>
          </w:tcPr>
          <w:p w14:paraId="057DE2DD">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主要电器、设备合格证</w:t>
            </w:r>
          </w:p>
        </w:tc>
        <w:tc>
          <w:tcPr>
            <w:tcW w:w="2799" w:type="dxa"/>
            <w:noWrap w:val="0"/>
            <w:vAlign w:val="center"/>
          </w:tcPr>
          <w:p w14:paraId="717F5943">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电器、设备合格证、试验合格报告</w:t>
            </w:r>
          </w:p>
        </w:tc>
        <w:tc>
          <w:tcPr>
            <w:tcW w:w="2985" w:type="dxa"/>
            <w:noWrap/>
            <w:vAlign w:val="center"/>
          </w:tcPr>
          <w:p w14:paraId="21F6A211">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质量安全中心</w:t>
            </w:r>
          </w:p>
        </w:tc>
        <w:tc>
          <w:tcPr>
            <w:tcW w:w="1440" w:type="dxa"/>
            <w:vMerge w:val="continue"/>
            <w:noWrap/>
            <w:vAlign w:val="center"/>
          </w:tcPr>
          <w:p w14:paraId="6B440F0A">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56AD92AD">
            <w:pPr>
              <w:spacing w:line="400" w:lineRule="exact"/>
              <w:ind w:firstLine="560" w:firstLineChars="200"/>
              <w:jc w:val="center"/>
              <w:rPr>
                <w:rFonts w:hint="eastAsia" w:ascii="宋体" w:hAnsi="宋体" w:cs="宋体"/>
                <w:sz w:val="28"/>
                <w:szCs w:val="24"/>
                <w:highlight w:val="none"/>
              </w:rPr>
            </w:pPr>
          </w:p>
        </w:tc>
      </w:tr>
      <w:tr w14:paraId="097A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restart"/>
            <w:noWrap/>
            <w:vAlign w:val="center"/>
          </w:tcPr>
          <w:p w14:paraId="51FB96C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水务</w:t>
            </w:r>
          </w:p>
          <w:p w14:paraId="24103699">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项目</w:t>
            </w:r>
          </w:p>
        </w:tc>
        <w:tc>
          <w:tcPr>
            <w:tcW w:w="3692" w:type="dxa"/>
            <w:noWrap/>
            <w:vAlign w:val="center"/>
          </w:tcPr>
          <w:p w14:paraId="2AA71190">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管网闭水试验</w:t>
            </w:r>
          </w:p>
        </w:tc>
        <w:tc>
          <w:tcPr>
            <w:tcW w:w="2799" w:type="dxa"/>
            <w:noWrap w:val="0"/>
            <w:vAlign w:val="center"/>
          </w:tcPr>
          <w:p w14:paraId="4F64354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报告</w:t>
            </w:r>
          </w:p>
        </w:tc>
        <w:tc>
          <w:tcPr>
            <w:tcW w:w="2985" w:type="dxa"/>
            <w:noWrap/>
            <w:vAlign w:val="center"/>
          </w:tcPr>
          <w:p w14:paraId="74FDBD12">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质量安全中心</w:t>
            </w:r>
          </w:p>
        </w:tc>
        <w:tc>
          <w:tcPr>
            <w:tcW w:w="1440" w:type="dxa"/>
            <w:vMerge w:val="restart"/>
            <w:noWrap/>
            <w:vAlign w:val="center"/>
          </w:tcPr>
          <w:p w14:paraId="3446B39D">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水务部门</w:t>
            </w:r>
          </w:p>
        </w:tc>
        <w:tc>
          <w:tcPr>
            <w:tcW w:w="1281" w:type="dxa"/>
            <w:vMerge w:val="restart"/>
            <w:noWrap/>
            <w:vAlign w:val="center"/>
          </w:tcPr>
          <w:p w14:paraId="0E4CAB3B">
            <w:pPr>
              <w:spacing w:line="400" w:lineRule="exact"/>
              <w:ind w:firstLine="560" w:firstLineChars="200"/>
              <w:jc w:val="center"/>
              <w:rPr>
                <w:rFonts w:hint="eastAsia" w:ascii="宋体" w:hAnsi="宋体" w:cs="宋体"/>
                <w:sz w:val="28"/>
                <w:szCs w:val="24"/>
                <w:highlight w:val="none"/>
              </w:rPr>
            </w:pPr>
          </w:p>
        </w:tc>
      </w:tr>
      <w:tr w14:paraId="675D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11BACCA7">
            <w:pPr>
              <w:spacing w:line="400" w:lineRule="exact"/>
              <w:ind w:firstLine="560" w:firstLineChars="200"/>
              <w:jc w:val="center"/>
              <w:rPr>
                <w:rFonts w:hint="eastAsia" w:ascii="宋体" w:hAnsi="宋体" w:cs="宋体"/>
                <w:sz w:val="28"/>
                <w:szCs w:val="24"/>
                <w:highlight w:val="none"/>
              </w:rPr>
            </w:pPr>
          </w:p>
        </w:tc>
        <w:tc>
          <w:tcPr>
            <w:tcW w:w="3692" w:type="dxa"/>
            <w:noWrap/>
            <w:vAlign w:val="center"/>
          </w:tcPr>
          <w:p w14:paraId="2E81D892">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设备安装调试</w:t>
            </w:r>
          </w:p>
        </w:tc>
        <w:tc>
          <w:tcPr>
            <w:tcW w:w="2799" w:type="dxa"/>
            <w:noWrap w:val="0"/>
            <w:vAlign w:val="center"/>
          </w:tcPr>
          <w:p w14:paraId="5FA8A64F">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设备合格证、安装调试报告</w:t>
            </w:r>
          </w:p>
        </w:tc>
        <w:tc>
          <w:tcPr>
            <w:tcW w:w="2985" w:type="dxa"/>
            <w:noWrap/>
            <w:vAlign w:val="center"/>
          </w:tcPr>
          <w:p w14:paraId="075AAA4E">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质量安全中心</w:t>
            </w:r>
          </w:p>
        </w:tc>
        <w:tc>
          <w:tcPr>
            <w:tcW w:w="1440" w:type="dxa"/>
            <w:vMerge w:val="continue"/>
            <w:noWrap/>
            <w:vAlign w:val="center"/>
          </w:tcPr>
          <w:p w14:paraId="1E5440A6">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6CBA0AC4">
            <w:pPr>
              <w:spacing w:line="400" w:lineRule="exact"/>
              <w:ind w:firstLine="560" w:firstLineChars="200"/>
              <w:jc w:val="center"/>
              <w:rPr>
                <w:rFonts w:hint="eastAsia" w:ascii="宋体" w:hAnsi="宋体" w:cs="宋体"/>
                <w:sz w:val="28"/>
                <w:szCs w:val="24"/>
                <w:highlight w:val="none"/>
              </w:rPr>
            </w:pPr>
          </w:p>
        </w:tc>
      </w:tr>
      <w:tr w14:paraId="29B3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restart"/>
            <w:noWrap/>
            <w:vAlign w:val="center"/>
          </w:tcPr>
          <w:p w14:paraId="11305E1F">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河道</w:t>
            </w:r>
          </w:p>
          <w:p w14:paraId="3E263083">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治理</w:t>
            </w:r>
          </w:p>
        </w:tc>
        <w:tc>
          <w:tcPr>
            <w:tcW w:w="3692" w:type="dxa"/>
            <w:noWrap/>
            <w:vAlign w:val="center"/>
          </w:tcPr>
          <w:p w14:paraId="2413E45E">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堤防填筑工程</w:t>
            </w:r>
          </w:p>
        </w:tc>
        <w:tc>
          <w:tcPr>
            <w:tcW w:w="2799" w:type="dxa"/>
            <w:noWrap w:val="0"/>
            <w:vAlign w:val="center"/>
          </w:tcPr>
          <w:p w14:paraId="5BDECC53">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自检报告</w:t>
            </w:r>
          </w:p>
        </w:tc>
        <w:tc>
          <w:tcPr>
            <w:tcW w:w="2985" w:type="dxa"/>
            <w:noWrap/>
            <w:vAlign w:val="center"/>
          </w:tcPr>
          <w:p w14:paraId="7FCEE84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质量安全中心</w:t>
            </w:r>
          </w:p>
        </w:tc>
        <w:tc>
          <w:tcPr>
            <w:tcW w:w="1440" w:type="dxa"/>
            <w:vMerge w:val="restart"/>
            <w:noWrap/>
            <w:vAlign w:val="center"/>
          </w:tcPr>
          <w:p w14:paraId="7751DDDC">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沣河建设项目部</w:t>
            </w:r>
          </w:p>
        </w:tc>
        <w:tc>
          <w:tcPr>
            <w:tcW w:w="1281" w:type="dxa"/>
            <w:vMerge w:val="restart"/>
            <w:noWrap/>
            <w:vAlign w:val="center"/>
          </w:tcPr>
          <w:p w14:paraId="496443D6">
            <w:pPr>
              <w:spacing w:line="400" w:lineRule="exact"/>
              <w:ind w:firstLine="560" w:firstLineChars="200"/>
              <w:jc w:val="center"/>
              <w:rPr>
                <w:rFonts w:hint="eastAsia" w:ascii="宋体" w:hAnsi="宋体" w:cs="宋体"/>
                <w:sz w:val="28"/>
                <w:szCs w:val="24"/>
                <w:highlight w:val="none"/>
              </w:rPr>
            </w:pPr>
          </w:p>
        </w:tc>
      </w:tr>
      <w:tr w14:paraId="0DCB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00D9A4E7">
            <w:pPr>
              <w:spacing w:line="400" w:lineRule="exact"/>
              <w:ind w:firstLine="560" w:firstLineChars="200"/>
              <w:jc w:val="center"/>
              <w:rPr>
                <w:rFonts w:hint="eastAsia" w:ascii="宋体" w:hAnsi="宋体" w:cs="宋体"/>
                <w:sz w:val="28"/>
                <w:szCs w:val="24"/>
                <w:highlight w:val="none"/>
              </w:rPr>
            </w:pPr>
          </w:p>
        </w:tc>
        <w:tc>
          <w:tcPr>
            <w:tcW w:w="3692" w:type="dxa"/>
            <w:vMerge w:val="restart"/>
            <w:noWrap/>
            <w:vAlign w:val="center"/>
          </w:tcPr>
          <w:p w14:paraId="280538E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堤顶道路铺细油前核查验收</w:t>
            </w:r>
          </w:p>
        </w:tc>
        <w:tc>
          <w:tcPr>
            <w:tcW w:w="2799" w:type="dxa"/>
            <w:noWrap w:val="0"/>
            <w:vAlign w:val="center"/>
          </w:tcPr>
          <w:p w14:paraId="3A1C3029">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功能完整性检查/自检报告</w:t>
            </w:r>
          </w:p>
        </w:tc>
        <w:tc>
          <w:tcPr>
            <w:tcW w:w="2985" w:type="dxa"/>
            <w:noWrap/>
            <w:vAlign w:val="center"/>
          </w:tcPr>
          <w:p w14:paraId="28652D3A">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工程管理部/技术部/质量安全中心</w:t>
            </w:r>
          </w:p>
        </w:tc>
        <w:tc>
          <w:tcPr>
            <w:tcW w:w="1440" w:type="dxa"/>
            <w:vMerge w:val="continue"/>
            <w:noWrap/>
            <w:vAlign w:val="center"/>
          </w:tcPr>
          <w:p w14:paraId="5A565183">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1CEC5FAA">
            <w:pPr>
              <w:spacing w:line="400" w:lineRule="exact"/>
              <w:ind w:firstLine="560" w:firstLineChars="200"/>
              <w:jc w:val="center"/>
              <w:rPr>
                <w:rFonts w:hint="eastAsia" w:ascii="宋体" w:hAnsi="宋体" w:cs="宋体"/>
                <w:sz w:val="28"/>
                <w:szCs w:val="24"/>
                <w:highlight w:val="none"/>
              </w:rPr>
            </w:pPr>
          </w:p>
        </w:tc>
      </w:tr>
      <w:tr w14:paraId="434F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10CE9E44">
            <w:pPr>
              <w:spacing w:line="400" w:lineRule="exact"/>
              <w:ind w:firstLine="560" w:firstLineChars="200"/>
              <w:jc w:val="center"/>
              <w:rPr>
                <w:rFonts w:hint="eastAsia" w:ascii="宋体" w:hAnsi="宋体" w:cs="宋体"/>
                <w:sz w:val="28"/>
                <w:szCs w:val="24"/>
                <w:highlight w:val="none"/>
              </w:rPr>
            </w:pPr>
          </w:p>
        </w:tc>
        <w:tc>
          <w:tcPr>
            <w:tcW w:w="3692" w:type="dxa"/>
            <w:vMerge w:val="continue"/>
            <w:noWrap/>
            <w:vAlign w:val="center"/>
          </w:tcPr>
          <w:p w14:paraId="661314E4">
            <w:pPr>
              <w:spacing w:line="400" w:lineRule="exact"/>
              <w:ind w:firstLine="560" w:firstLineChars="200"/>
              <w:jc w:val="center"/>
              <w:rPr>
                <w:rFonts w:hint="eastAsia" w:ascii="宋体" w:hAnsi="宋体" w:cs="宋体"/>
                <w:sz w:val="28"/>
                <w:szCs w:val="24"/>
                <w:highlight w:val="none"/>
              </w:rPr>
            </w:pPr>
          </w:p>
        </w:tc>
        <w:tc>
          <w:tcPr>
            <w:tcW w:w="2799" w:type="dxa"/>
            <w:noWrap w:val="0"/>
            <w:vAlign w:val="center"/>
          </w:tcPr>
          <w:p w14:paraId="56E5DFCC">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合同履约情况</w:t>
            </w:r>
          </w:p>
        </w:tc>
        <w:tc>
          <w:tcPr>
            <w:tcW w:w="2985" w:type="dxa"/>
            <w:noWrap/>
            <w:vAlign w:val="center"/>
          </w:tcPr>
          <w:p w14:paraId="0CCA93C7">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合同预算部</w:t>
            </w:r>
          </w:p>
        </w:tc>
        <w:tc>
          <w:tcPr>
            <w:tcW w:w="1440" w:type="dxa"/>
            <w:vMerge w:val="continue"/>
            <w:noWrap/>
            <w:vAlign w:val="center"/>
          </w:tcPr>
          <w:p w14:paraId="0771A173">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0F73FB99">
            <w:pPr>
              <w:spacing w:line="400" w:lineRule="exact"/>
              <w:ind w:firstLine="560" w:firstLineChars="200"/>
              <w:jc w:val="center"/>
              <w:rPr>
                <w:rFonts w:hint="eastAsia" w:ascii="宋体" w:hAnsi="宋体" w:cs="宋体"/>
                <w:sz w:val="28"/>
                <w:szCs w:val="24"/>
                <w:highlight w:val="none"/>
              </w:rPr>
            </w:pPr>
          </w:p>
        </w:tc>
      </w:tr>
      <w:tr w14:paraId="6187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311DEB73">
            <w:pPr>
              <w:spacing w:line="400" w:lineRule="exact"/>
              <w:ind w:firstLine="560" w:firstLineChars="200"/>
              <w:jc w:val="center"/>
              <w:rPr>
                <w:rFonts w:hint="eastAsia" w:ascii="宋体" w:hAnsi="宋体" w:cs="宋体"/>
                <w:sz w:val="28"/>
                <w:szCs w:val="24"/>
                <w:highlight w:val="none"/>
              </w:rPr>
            </w:pPr>
          </w:p>
        </w:tc>
        <w:tc>
          <w:tcPr>
            <w:tcW w:w="3692" w:type="dxa"/>
            <w:vMerge w:val="restart"/>
            <w:noWrap/>
            <w:vAlign w:val="center"/>
          </w:tcPr>
          <w:p w14:paraId="7FFFDF37">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河道内的水工建筑物验收</w:t>
            </w:r>
          </w:p>
        </w:tc>
        <w:tc>
          <w:tcPr>
            <w:tcW w:w="2799" w:type="dxa"/>
            <w:noWrap w:val="0"/>
            <w:vAlign w:val="center"/>
          </w:tcPr>
          <w:p w14:paraId="5B78153F">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功能完整性检查/自检报告</w:t>
            </w:r>
          </w:p>
        </w:tc>
        <w:tc>
          <w:tcPr>
            <w:tcW w:w="2985" w:type="dxa"/>
            <w:noWrap/>
            <w:vAlign w:val="center"/>
          </w:tcPr>
          <w:p w14:paraId="5B1E50A8">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工程管理部/技术部/质量安全中心</w:t>
            </w:r>
          </w:p>
        </w:tc>
        <w:tc>
          <w:tcPr>
            <w:tcW w:w="1440" w:type="dxa"/>
            <w:vMerge w:val="continue"/>
            <w:noWrap/>
            <w:vAlign w:val="center"/>
          </w:tcPr>
          <w:p w14:paraId="6FCEED0E">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4C35335F">
            <w:pPr>
              <w:spacing w:line="400" w:lineRule="exact"/>
              <w:ind w:firstLine="560" w:firstLineChars="200"/>
              <w:jc w:val="center"/>
              <w:rPr>
                <w:rFonts w:hint="eastAsia" w:ascii="宋体" w:hAnsi="宋体" w:cs="宋体"/>
                <w:sz w:val="28"/>
                <w:szCs w:val="24"/>
                <w:highlight w:val="none"/>
              </w:rPr>
            </w:pPr>
          </w:p>
        </w:tc>
      </w:tr>
      <w:tr w14:paraId="3A84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09E6ADC0">
            <w:pPr>
              <w:spacing w:line="400" w:lineRule="exact"/>
              <w:ind w:firstLine="560" w:firstLineChars="200"/>
              <w:jc w:val="center"/>
              <w:rPr>
                <w:rFonts w:hint="eastAsia" w:ascii="宋体" w:hAnsi="宋体" w:cs="宋体"/>
                <w:sz w:val="28"/>
                <w:szCs w:val="24"/>
                <w:highlight w:val="none"/>
              </w:rPr>
            </w:pPr>
          </w:p>
        </w:tc>
        <w:tc>
          <w:tcPr>
            <w:tcW w:w="3692" w:type="dxa"/>
            <w:vMerge w:val="continue"/>
            <w:noWrap/>
            <w:vAlign w:val="center"/>
          </w:tcPr>
          <w:p w14:paraId="40D106AC">
            <w:pPr>
              <w:spacing w:line="400" w:lineRule="exact"/>
              <w:ind w:firstLine="560" w:firstLineChars="200"/>
              <w:jc w:val="center"/>
              <w:rPr>
                <w:rFonts w:hint="eastAsia" w:ascii="宋体" w:hAnsi="宋体" w:cs="宋体"/>
                <w:sz w:val="28"/>
                <w:szCs w:val="24"/>
                <w:highlight w:val="none"/>
              </w:rPr>
            </w:pPr>
          </w:p>
        </w:tc>
        <w:tc>
          <w:tcPr>
            <w:tcW w:w="2799" w:type="dxa"/>
            <w:noWrap w:val="0"/>
            <w:vAlign w:val="center"/>
          </w:tcPr>
          <w:p w14:paraId="48C986AE">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合同履约情况</w:t>
            </w:r>
          </w:p>
        </w:tc>
        <w:tc>
          <w:tcPr>
            <w:tcW w:w="2985" w:type="dxa"/>
            <w:noWrap/>
            <w:vAlign w:val="center"/>
          </w:tcPr>
          <w:p w14:paraId="4580694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合同预算部</w:t>
            </w:r>
          </w:p>
        </w:tc>
        <w:tc>
          <w:tcPr>
            <w:tcW w:w="1440" w:type="dxa"/>
            <w:vMerge w:val="continue"/>
            <w:noWrap/>
            <w:vAlign w:val="center"/>
          </w:tcPr>
          <w:p w14:paraId="56D3C5DC">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5B2221B0">
            <w:pPr>
              <w:spacing w:line="400" w:lineRule="exact"/>
              <w:ind w:firstLine="560" w:firstLineChars="200"/>
              <w:jc w:val="center"/>
              <w:rPr>
                <w:rFonts w:hint="eastAsia" w:ascii="宋体" w:hAnsi="宋体" w:cs="宋体"/>
                <w:sz w:val="28"/>
                <w:szCs w:val="24"/>
                <w:highlight w:val="none"/>
              </w:rPr>
            </w:pPr>
          </w:p>
        </w:tc>
      </w:tr>
      <w:tr w14:paraId="6D6E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restart"/>
            <w:noWrap/>
            <w:vAlign w:val="center"/>
          </w:tcPr>
          <w:p w14:paraId="135A8DC7">
            <w:pPr>
              <w:spacing w:line="400" w:lineRule="exact"/>
              <w:rPr>
                <w:rFonts w:hint="eastAsia" w:ascii="宋体" w:hAnsi="宋体" w:cs="宋体"/>
                <w:sz w:val="28"/>
                <w:szCs w:val="24"/>
                <w:highlight w:val="none"/>
              </w:rPr>
            </w:pPr>
          </w:p>
          <w:p w14:paraId="307CB530">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云轨</w:t>
            </w:r>
          </w:p>
          <w:p w14:paraId="1400C386">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项目</w:t>
            </w:r>
          </w:p>
        </w:tc>
        <w:tc>
          <w:tcPr>
            <w:tcW w:w="3692" w:type="dxa"/>
            <w:noWrap/>
            <w:vAlign w:val="center"/>
          </w:tcPr>
          <w:p w14:paraId="5D781C96">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桥梁桩基检测</w:t>
            </w:r>
          </w:p>
        </w:tc>
        <w:tc>
          <w:tcPr>
            <w:tcW w:w="2799" w:type="dxa"/>
            <w:noWrap w:val="0"/>
            <w:vAlign w:val="center"/>
          </w:tcPr>
          <w:p w14:paraId="1A7F2ECC">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检测报告</w:t>
            </w:r>
          </w:p>
        </w:tc>
        <w:tc>
          <w:tcPr>
            <w:tcW w:w="2985" w:type="dxa"/>
            <w:noWrap/>
            <w:vAlign w:val="center"/>
          </w:tcPr>
          <w:p w14:paraId="1C88DC94">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技术部/质量安全中心</w:t>
            </w:r>
          </w:p>
        </w:tc>
        <w:tc>
          <w:tcPr>
            <w:tcW w:w="1440" w:type="dxa"/>
            <w:vMerge w:val="restart"/>
            <w:noWrap/>
            <w:vAlign w:val="center"/>
          </w:tcPr>
          <w:p w14:paraId="1BD4CE8F">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科创绿廊项目部</w:t>
            </w:r>
          </w:p>
        </w:tc>
        <w:tc>
          <w:tcPr>
            <w:tcW w:w="1281" w:type="dxa"/>
            <w:vMerge w:val="restart"/>
            <w:noWrap/>
            <w:vAlign w:val="center"/>
          </w:tcPr>
          <w:p w14:paraId="62BDB517">
            <w:pPr>
              <w:spacing w:line="400" w:lineRule="exact"/>
              <w:ind w:firstLine="560" w:firstLineChars="200"/>
              <w:jc w:val="center"/>
              <w:rPr>
                <w:rFonts w:hint="eastAsia" w:ascii="宋体" w:hAnsi="宋体" w:cs="宋体"/>
                <w:sz w:val="28"/>
                <w:szCs w:val="24"/>
                <w:highlight w:val="none"/>
              </w:rPr>
            </w:pPr>
          </w:p>
        </w:tc>
      </w:tr>
      <w:tr w14:paraId="5BD5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716CBE23">
            <w:pPr>
              <w:spacing w:line="400" w:lineRule="exact"/>
              <w:ind w:firstLine="560" w:firstLineChars="200"/>
              <w:jc w:val="center"/>
              <w:rPr>
                <w:rFonts w:hint="eastAsia" w:ascii="宋体" w:hAnsi="宋体" w:cs="宋体"/>
                <w:sz w:val="28"/>
                <w:szCs w:val="24"/>
                <w:highlight w:val="none"/>
              </w:rPr>
            </w:pPr>
          </w:p>
        </w:tc>
        <w:tc>
          <w:tcPr>
            <w:tcW w:w="3692" w:type="dxa"/>
            <w:noWrap/>
            <w:vAlign w:val="center"/>
          </w:tcPr>
          <w:p w14:paraId="7E21DFA3">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主体结构完工后检查</w:t>
            </w:r>
          </w:p>
        </w:tc>
        <w:tc>
          <w:tcPr>
            <w:tcW w:w="2799" w:type="dxa"/>
            <w:noWrap w:val="0"/>
            <w:vAlign w:val="center"/>
          </w:tcPr>
          <w:p w14:paraId="35CF3C6C">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现场检查/自检报告</w:t>
            </w:r>
          </w:p>
        </w:tc>
        <w:tc>
          <w:tcPr>
            <w:tcW w:w="2985" w:type="dxa"/>
            <w:noWrap/>
            <w:vAlign w:val="center"/>
          </w:tcPr>
          <w:p w14:paraId="18FBC5B8">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技术部/合同预算部/质量安全中心</w:t>
            </w:r>
          </w:p>
        </w:tc>
        <w:tc>
          <w:tcPr>
            <w:tcW w:w="1440" w:type="dxa"/>
            <w:vMerge w:val="continue"/>
            <w:noWrap/>
            <w:vAlign w:val="center"/>
          </w:tcPr>
          <w:p w14:paraId="12742FF1">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2D4467B5">
            <w:pPr>
              <w:spacing w:line="400" w:lineRule="exact"/>
              <w:ind w:firstLine="560" w:firstLineChars="200"/>
              <w:jc w:val="center"/>
              <w:rPr>
                <w:rFonts w:hint="eastAsia" w:ascii="宋体" w:hAnsi="宋体" w:cs="宋体"/>
                <w:sz w:val="28"/>
                <w:szCs w:val="24"/>
                <w:highlight w:val="none"/>
              </w:rPr>
            </w:pPr>
          </w:p>
        </w:tc>
      </w:tr>
      <w:tr w14:paraId="630E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3629FB3E">
            <w:pPr>
              <w:spacing w:line="400" w:lineRule="exact"/>
              <w:ind w:firstLine="560" w:firstLineChars="200"/>
              <w:jc w:val="center"/>
              <w:rPr>
                <w:rFonts w:hint="eastAsia" w:ascii="宋体" w:hAnsi="宋体" w:cs="宋体"/>
                <w:sz w:val="28"/>
                <w:szCs w:val="24"/>
                <w:highlight w:val="none"/>
              </w:rPr>
            </w:pPr>
          </w:p>
        </w:tc>
        <w:tc>
          <w:tcPr>
            <w:tcW w:w="3692" w:type="dxa"/>
            <w:noWrap/>
            <w:vAlign w:val="center"/>
          </w:tcPr>
          <w:p w14:paraId="3F5F6CE5">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主要电器、设备安装调试</w:t>
            </w:r>
          </w:p>
        </w:tc>
        <w:tc>
          <w:tcPr>
            <w:tcW w:w="2799" w:type="dxa"/>
            <w:noWrap w:val="0"/>
            <w:vAlign w:val="center"/>
          </w:tcPr>
          <w:p w14:paraId="09F2E3E1">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电器、设备合格证、试验合格报告</w:t>
            </w:r>
          </w:p>
        </w:tc>
        <w:tc>
          <w:tcPr>
            <w:tcW w:w="2985" w:type="dxa"/>
            <w:noWrap/>
            <w:vAlign w:val="center"/>
          </w:tcPr>
          <w:p w14:paraId="643916A4">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技术部/质量安全中心</w:t>
            </w:r>
          </w:p>
        </w:tc>
        <w:tc>
          <w:tcPr>
            <w:tcW w:w="1440" w:type="dxa"/>
            <w:vMerge w:val="continue"/>
            <w:noWrap/>
            <w:vAlign w:val="center"/>
          </w:tcPr>
          <w:p w14:paraId="177120BC">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5E73CED3">
            <w:pPr>
              <w:spacing w:line="400" w:lineRule="exact"/>
              <w:ind w:firstLine="560" w:firstLineChars="200"/>
              <w:jc w:val="center"/>
              <w:rPr>
                <w:rFonts w:hint="eastAsia" w:ascii="宋体" w:hAnsi="宋体" w:cs="宋体"/>
                <w:sz w:val="28"/>
                <w:szCs w:val="24"/>
                <w:highlight w:val="none"/>
              </w:rPr>
            </w:pPr>
          </w:p>
        </w:tc>
      </w:tr>
      <w:tr w14:paraId="44BD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restart"/>
            <w:noWrap w:val="0"/>
            <w:vAlign w:val="center"/>
          </w:tcPr>
          <w:p w14:paraId="10F19A5D">
            <w:pPr>
              <w:spacing w:line="400" w:lineRule="exact"/>
              <w:rPr>
                <w:rFonts w:hint="eastAsia" w:ascii="宋体" w:hAnsi="宋体" w:cs="宋体"/>
                <w:sz w:val="28"/>
                <w:szCs w:val="24"/>
                <w:highlight w:val="none"/>
              </w:rPr>
            </w:pPr>
          </w:p>
          <w:p w14:paraId="186232C9">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房屋</w:t>
            </w:r>
          </w:p>
          <w:p w14:paraId="37CDCE21">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建筑</w:t>
            </w:r>
          </w:p>
        </w:tc>
        <w:tc>
          <w:tcPr>
            <w:tcW w:w="3692" w:type="dxa"/>
            <w:noWrap/>
            <w:vAlign w:val="center"/>
          </w:tcPr>
          <w:p w14:paraId="04175EF0">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基础</w:t>
            </w:r>
          </w:p>
        </w:tc>
        <w:tc>
          <w:tcPr>
            <w:tcW w:w="2799" w:type="dxa"/>
            <w:noWrap w:val="0"/>
            <w:vAlign w:val="center"/>
          </w:tcPr>
          <w:p w14:paraId="7E9EAEF0">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现场检查/检测报告</w:t>
            </w:r>
          </w:p>
        </w:tc>
        <w:tc>
          <w:tcPr>
            <w:tcW w:w="2985" w:type="dxa"/>
            <w:noWrap/>
            <w:vAlign w:val="center"/>
          </w:tcPr>
          <w:p w14:paraId="29BDF4FC">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技术部/质量安全中心</w:t>
            </w:r>
          </w:p>
        </w:tc>
        <w:tc>
          <w:tcPr>
            <w:tcW w:w="1440" w:type="dxa"/>
            <w:vMerge w:val="restart"/>
            <w:noWrap/>
            <w:vAlign w:val="center"/>
          </w:tcPr>
          <w:p w14:paraId="1016E4A5">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项目</w:t>
            </w:r>
          </w:p>
          <w:p w14:paraId="33B19EC9">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实施部门</w:t>
            </w:r>
          </w:p>
        </w:tc>
        <w:tc>
          <w:tcPr>
            <w:tcW w:w="1281" w:type="dxa"/>
            <w:vMerge w:val="restart"/>
            <w:noWrap/>
            <w:vAlign w:val="center"/>
          </w:tcPr>
          <w:p w14:paraId="0EF9C92D">
            <w:pPr>
              <w:spacing w:line="400" w:lineRule="exact"/>
              <w:ind w:firstLine="560" w:firstLineChars="200"/>
              <w:jc w:val="center"/>
              <w:rPr>
                <w:rFonts w:hint="eastAsia" w:ascii="宋体" w:hAnsi="宋体" w:cs="宋体"/>
                <w:sz w:val="28"/>
                <w:szCs w:val="24"/>
                <w:highlight w:val="none"/>
              </w:rPr>
            </w:pPr>
          </w:p>
        </w:tc>
      </w:tr>
      <w:tr w14:paraId="6C19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5EB3CA04">
            <w:pPr>
              <w:spacing w:line="400" w:lineRule="exact"/>
              <w:ind w:firstLine="560" w:firstLineChars="200"/>
              <w:jc w:val="center"/>
              <w:rPr>
                <w:rFonts w:hint="eastAsia" w:ascii="宋体" w:hAnsi="宋体" w:cs="宋体"/>
                <w:sz w:val="28"/>
                <w:szCs w:val="24"/>
                <w:highlight w:val="none"/>
              </w:rPr>
            </w:pPr>
          </w:p>
        </w:tc>
        <w:tc>
          <w:tcPr>
            <w:tcW w:w="3692" w:type="dxa"/>
            <w:noWrap/>
            <w:vAlign w:val="center"/>
          </w:tcPr>
          <w:p w14:paraId="127476E1">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主体结构</w:t>
            </w:r>
          </w:p>
        </w:tc>
        <w:tc>
          <w:tcPr>
            <w:tcW w:w="2799" w:type="dxa"/>
            <w:noWrap w:val="0"/>
            <w:vAlign w:val="center"/>
          </w:tcPr>
          <w:p w14:paraId="47795905">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现场检查/检测报告</w:t>
            </w:r>
          </w:p>
        </w:tc>
        <w:tc>
          <w:tcPr>
            <w:tcW w:w="2985" w:type="dxa"/>
            <w:noWrap/>
            <w:vAlign w:val="center"/>
          </w:tcPr>
          <w:p w14:paraId="533A20D4">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技术部/质量安全中心</w:t>
            </w:r>
          </w:p>
        </w:tc>
        <w:tc>
          <w:tcPr>
            <w:tcW w:w="1440" w:type="dxa"/>
            <w:vMerge w:val="continue"/>
            <w:noWrap/>
            <w:vAlign w:val="center"/>
          </w:tcPr>
          <w:p w14:paraId="3B0B8555">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14330497">
            <w:pPr>
              <w:spacing w:line="400" w:lineRule="exact"/>
              <w:ind w:firstLine="560" w:firstLineChars="200"/>
              <w:jc w:val="center"/>
              <w:rPr>
                <w:rFonts w:hint="eastAsia" w:ascii="宋体" w:hAnsi="宋体" w:cs="宋体"/>
                <w:sz w:val="28"/>
                <w:szCs w:val="24"/>
                <w:highlight w:val="none"/>
              </w:rPr>
            </w:pPr>
          </w:p>
        </w:tc>
      </w:tr>
      <w:tr w14:paraId="75E0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553ED519">
            <w:pPr>
              <w:spacing w:line="400" w:lineRule="exact"/>
              <w:ind w:firstLine="560" w:firstLineChars="200"/>
              <w:jc w:val="center"/>
              <w:rPr>
                <w:rFonts w:hint="eastAsia" w:ascii="宋体" w:hAnsi="宋体" w:cs="宋体"/>
                <w:sz w:val="28"/>
                <w:szCs w:val="24"/>
                <w:highlight w:val="none"/>
              </w:rPr>
            </w:pPr>
          </w:p>
        </w:tc>
        <w:tc>
          <w:tcPr>
            <w:tcW w:w="3692" w:type="dxa"/>
            <w:vMerge w:val="restart"/>
            <w:noWrap/>
            <w:vAlign w:val="center"/>
          </w:tcPr>
          <w:p w14:paraId="592C493C">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移交前</w:t>
            </w:r>
          </w:p>
        </w:tc>
        <w:tc>
          <w:tcPr>
            <w:tcW w:w="2799" w:type="dxa"/>
            <w:noWrap w:val="0"/>
            <w:vAlign w:val="center"/>
          </w:tcPr>
          <w:p w14:paraId="4CC6E11A">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功能完整性检查/自检报告</w:t>
            </w:r>
          </w:p>
        </w:tc>
        <w:tc>
          <w:tcPr>
            <w:tcW w:w="2985" w:type="dxa"/>
            <w:noWrap/>
            <w:vAlign w:val="center"/>
          </w:tcPr>
          <w:p w14:paraId="0F87D45B">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工程管理部/技术部/质量安全中心</w:t>
            </w:r>
          </w:p>
        </w:tc>
        <w:tc>
          <w:tcPr>
            <w:tcW w:w="1440" w:type="dxa"/>
            <w:vMerge w:val="continue"/>
            <w:noWrap/>
            <w:vAlign w:val="center"/>
          </w:tcPr>
          <w:p w14:paraId="66A3E176">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29816C5A">
            <w:pPr>
              <w:spacing w:line="400" w:lineRule="exact"/>
              <w:ind w:firstLine="560" w:firstLineChars="200"/>
              <w:jc w:val="center"/>
              <w:rPr>
                <w:rFonts w:hint="eastAsia" w:ascii="宋体" w:hAnsi="宋体" w:cs="宋体"/>
                <w:sz w:val="28"/>
                <w:szCs w:val="24"/>
                <w:highlight w:val="none"/>
              </w:rPr>
            </w:pPr>
          </w:p>
        </w:tc>
      </w:tr>
      <w:tr w14:paraId="4380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6" w:type="dxa"/>
            <w:vMerge w:val="continue"/>
            <w:noWrap w:val="0"/>
            <w:vAlign w:val="center"/>
          </w:tcPr>
          <w:p w14:paraId="034D37FC">
            <w:pPr>
              <w:spacing w:line="400" w:lineRule="exact"/>
              <w:ind w:firstLine="560" w:firstLineChars="200"/>
              <w:jc w:val="center"/>
              <w:rPr>
                <w:rFonts w:hint="eastAsia" w:ascii="宋体" w:hAnsi="宋体" w:cs="宋体"/>
                <w:sz w:val="28"/>
                <w:szCs w:val="24"/>
                <w:highlight w:val="none"/>
              </w:rPr>
            </w:pPr>
          </w:p>
        </w:tc>
        <w:tc>
          <w:tcPr>
            <w:tcW w:w="3692" w:type="dxa"/>
            <w:vMerge w:val="continue"/>
            <w:noWrap/>
            <w:vAlign w:val="center"/>
          </w:tcPr>
          <w:p w14:paraId="4A458C41">
            <w:pPr>
              <w:spacing w:line="400" w:lineRule="exact"/>
              <w:jc w:val="center"/>
              <w:rPr>
                <w:rFonts w:hint="eastAsia" w:ascii="宋体" w:hAnsi="宋体" w:cs="宋体"/>
                <w:sz w:val="28"/>
                <w:szCs w:val="24"/>
                <w:highlight w:val="none"/>
              </w:rPr>
            </w:pPr>
          </w:p>
        </w:tc>
        <w:tc>
          <w:tcPr>
            <w:tcW w:w="2799" w:type="dxa"/>
            <w:noWrap w:val="0"/>
            <w:vAlign w:val="center"/>
          </w:tcPr>
          <w:p w14:paraId="44F2479E">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合同履约情况</w:t>
            </w:r>
          </w:p>
        </w:tc>
        <w:tc>
          <w:tcPr>
            <w:tcW w:w="2985" w:type="dxa"/>
            <w:noWrap/>
            <w:vAlign w:val="center"/>
          </w:tcPr>
          <w:p w14:paraId="6FA98F7A">
            <w:pPr>
              <w:spacing w:line="400" w:lineRule="exact"/>
              <w:jc w:val="center"/>
              <w:rPr>
                <w:rFonts w:hint="eastAsia" w:ascii="宋体" w:hAnsi="宋体" w:cs="宋体"/>
                <w:sz w:val="28"/>
                <w:szCs w:val="24"/>
                <w:highlight w:val="none"/>
              </w:rPr>
            </w:pPr>
            <w:r>
              <w:rPr>
                <w:rFonts w:hint="eastAsia" w:ascii="宋体" w:hAnsi="宋体" w:cs="宋体"/>
                <w:sz w:val="28"/>
                <w:szCs w:val="24"/>
                <w:highlight w:val="none"/>
              </w:rPr>
              <w:t>合同预算部</w:t>
            </w:r>
          </w:p>
        </w:tc>
        <w:tc>
          <w:tcPr>
            <w:tcW w:w="1440" w:type="dxa"/>
            <w:vMerge w:val="continue"/>
            <w:noWrap/>
            <w:vAlign w:val="center"/>
          </w:tcPr>
          <w:p w14:paraId="01479435">
            <w:pPr>
              <w:spacing w:line="400" w:lineRule="exact"/>
              <w:ind w:firstLine="560" w:firstLineChars="200"/>
              <w:jc w:val="center"/>
              <w:rPr>
                <w:rFonts w:hint="eastAsia" w:ascii="宋体" w:hAnsi="宋体" w:cs="宋体"/>
                <w:sz w:val="28"/>
                <w:szCs w:val="24"/>
                <w:highlight w:val="none"/>
              </w:rPr>
            </w:pPr>
          </w:p>
        </w:tc>
        <w:tc>
          <w:tcPr>
            <w:tcW w:w="1281" w:type="dxa"/>
            <w:vMerge w:val="continue"/>
            <w:noWrap/>
            <w:vAlign w:val="center"/>
          </w:tcPr>
          <w:p w14:paraId="0B67394E">
            <w:pPr>
              <w:spacing w:line="400" w:lineRule="exact"/>
              <w:ind w:firstLine="560" w:firstLineChars="200"/>
              <w:jc w:val="center"/>
              <w:rPr>
                <w:rFonts w:hint="eastAsia" w:ascii="宋体" w:hAnsi="宋体" w:cs="宋体"/>
                <w:sz w:val="28"/>
                <w:szCs w:val="24"/>
                <w:highlight w:val="none"/>
              </w:rPr>
            </w:pPr>
          </w:p>
        </w:tc>
      </w:tr>
    </w:tbl>
    <w:p w14:paraId="2A1718DF">
      <w:pPr>
        <w:spacing w:before="156" w:beforeLines="50" w:after="156" w:afterLines="50" w:line="600" w:lineRule="exact"/>
        <w:rPr>
          <w:rFonts w:hint="eastAsia" w:ascii="宋体" w:hAnsi="宋体" w:cs="宋体"/>
          <w:sz w:val="28"/>
          <w:szCs w:val="24"/>
          <w:highlight w:val="none"/>
        </w:rPr>
        <w:sectPr>
          <w:pgSz w:w="16838" w:h="11906" w:orient="landscape"/>
          <w:pgMar w:top="1247" w:right="2098" w:bottom="1247" w:left="1985" w:header="851" w:footer="992" w:gutter="0"/>
          <w:pgNumType w:fmt="decimal"/>
          <w:cols w:space="720" w:num="1"/>
          <w:docGrid w:type="lines" w:linePitch="312" w:charSpace="800"/>
        </w:sectPr>
      </w:pPr>
    </w:p>
    <w:p w14:paraId="785C90A3">
      <w:pPr>
        <w:spacing w:before="120" w:beforeLines="50" w:after="120" w:afterLines="50" w:line="600" w:lineRule="exact"/>
        <w:rPr>
          <w:rFonts w:hint="eastAsia" w:ascii="宋体" w:hAnsi="宋体" w:cs="宋体"/>
          <w:sz w:val="28"/>
          <w:szCs w:val="24"/>
          <w:highlight w:val="none"/>
        </w:rPr>
      </w:pPr>
      <w:r>
        <w:rPr>
          <w:rFonts w:hint="eastAsia" w:ascii="宋体" w:hAnsi="宋体" w:cs="宋体"/>
          <w:sz w:val="28"/>
          <w:szCs w:val="24"/>
          <w:highlight w:val="none"/>
        </w:rPr>
        <w:t xml:space="preserve">附表2       </w:t>
      </w:r>
    </w:p>
    <w:p w14:paraId="7C181034">
      <w:pPr>
        <w:spacing w:before="120" w:beforeLines="50" w:after="120" w:afterLines="50"/>
        <w:jc w:val="center"/>
        <w:rPr>
          <w:rFonts w:hint="eastAsia" w:ascii="宋体" w:hAnsi="宋体" w:cs="宋体"/>
          <w:b/>
          <w:bCs/>
          <w:sz w:val="32"/>
          <w:szCs w:val="32"/>
          <w:highlight w:val="none"/>
        </w:rPr>
      </w:pPr>
      <w:r>
        <w:rPr>
          <w:rFonts w:hint="eastAsia" w:ascii="宋体" w:hAnsi="宋体" w:cs="宋体"/>
          <w:b/>
          <w:bCs/>
          <w:sz w:val="32"/>
          <w:szCs w:val="32"/>
          <w:highlight w:val="none"/>
          <w:u w:val="single"/>
        </w:rPr>
        <w:t>**********工程</w:t>
      </w:r>
      <w:r>
        <w:rPr>
          <w:rFonts w:hint="eastAsia" w:ascii="宋体" w:hAnsi="宋体" w:cs="宋体"/>
          <w:b/>
          <w:bCs/>
          <w:sz w:val="32"/>
          <w:szCs w:val="32"/>
          <w:highlight w:val="none"/>
        </w:rPr>
        <w:t>检查记录表</w:t>
      </w:r>
    </w:p>
    <w:tbl>
      <w:tblPr>
        <w:tblStyle w:val="14"/>
        <w:tblpPr w:leftFromText="180" w:rightFromText="180" w:vertAnchor="text" w:horzAnchor="page" w:tblpX="1857" w:tblpY="352"/>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322"/>
        <w:gridCol w:w="1415"/>
        <w:gridCol w:w="2841"/>
      </w:tblGrid>
      <w:tr w14:paraId="5DCF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368" w:type="dxa"/>
            <w:noWrap w:val="0"/>
            <w:vAlign w:val="top"/>
          </w:tcPr>
          <w:p w14:paraId="2D0BDD08">
            <w:pPr>
              <w:rPr>
                <w:rFonts w:hint="eastAsia" w:ascii="宋体" w:hAnsi="宋体" w:cs="宋体"/>
                <w:spacing w:val="-20"/>
                <w:sz w:val="28"/>
                <w:szCs w:val="24"/>
                <w:highlight w:val="none"/>
              </w:rPr>
            </w:pPr>
            <w:r>
              <w:rPr>
                <w:rFonts w:hint="eastAsia" w:ascii="宋体" w:hAnsi="宋体" w:cs="宋体"/>
                <w:spacing w:val="-20"/>
                <w:sz w:val="28"/>
                <w:szCs w:val="24"/>
                <w:highlight w:val="none"/>
              </w:rPr>
              <w:t>工程名称</w:t>
            </w:r>
          </w:p>
        </w:tc>
        <w:tc>
          <w:tcPr>
            <w:tcW w:w="3322" w:type="dxa"/>
            <w:noWrap w:val="0"/>
            <w:vAlign w:val="top"/>
          </w:tcPr>
          <w:p w14:paraId="3005BA17">
            <w:pPr>
              <w:rPr>
                <w:rFonts w:hint="eastAsia" w:ascii="宋体" w:hAnsi="宋体" w:cs="宋体"/>
                <w:spacing w:val="-20"/>
                <w:sz w:val="28"/>
                <w:szCs w:val="24"/>
                <w:highlight w:val="none"/>
              </w:rPr>
            </w:pPr>
          </w:p>
        </w:tc>
        <w:tc>
          <w:tcPr>
            <w:tcW w:w="1415" w:type="dxa"/>
            <w:noWrap w:val="0"/>
            <w:vAlign w:val="top"/>
          </w:tcPr>
          <w:p w14:paraId="5E45534C">
            <w:pPr>
              <w:rPr>
                <w:rFonts w:hint="eastAsia" w:ascii="宋体" w:hAnsi="宋体" w:cs="宋体"/>
                <w:spacing w:val="-20"/>
                <w:sz w:val="28"/>
                <w:szCs w:val="24"/>
                <w:highlight w:val="none"/>
              </w:rPr>
            </w:pPr>
            <w:r>
              <w:rPr>
                <w:rFonts w:hint="eastAsia" w:ascii="宋体" w:hAnsi="宋体" w:cs="宋体"/>
                <w:spacing w:val="-20"/>
                <w:sz w:val="28"/>
                <w:szCs w:val="24"/>
                <w:highlight w:val="none"/>
              </w:rPr>
              <w:t>施工单位</w:t>
            </w:r>
          </w:p>
        </w:tc>
        <w:tc>
          <w:tcPr>
            <w:tcW w:w="2841" w:type="dxa"/>
            <w:noWrap w:val="0"/>
            <w:vAlign w:val="top"/>
          </w:tcPr>
          <w:p w14:paraId="6F988FD4">
            <w:pPr>
              <w:rPr>
                <w:rFonts w:hint="eastAsia" w:ascii="宋体" w:hAnsi="宋体" w:cs="宋体"/>
                <w:spacing w:val="-20"/>
                <w:sz w:val="28"/>
                <w:szCs w:val="24"/>
                <w:highlight w:val="none"/>
              </w:rPr>
            </w:pPr>
          </w:p>
        </w:tc>
      </w:tr>
      <w:tr w14:paraId="3E14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368" w:type="dxa"/>
            <w:noWrap w:val="0"/>
            <w:vAlign w:val="top"/>
          </w:tcPr>
          <w:p w14:paraId="266DD1BD">
            <w:pPr>
              <w:rPr>
                <w:rFonts w:hint="eastAsia" w:ascii="宋体" w:hAnsi="宋体" w:cs="宋体"/>
                <w:spacing w:val="-20"/>
                <w:sz w:val="28"/>
                <w:szCs w:val="24"/>
                <w:highlight w:val="none"/>
              </w:rPr>
            </w:pPr>
            <w:r>
              <w:rPr>
                <w:rFonts w:hint="eastAsia" w:ascii="宋体" w:hAnsi="宋体" w:cs="宋体"/>
                <w:spacing w:val="-20"/>
                <w:sz w:val="28"/>
                <w:szCs w:val="24"/>
                <w:highlight w:val="none"/>
              </w:rPr>
              <w:t>工程规模</w:t>
            </w:r>
          </w:p>
        </w:tc>
        <w:tc>
          <w:tcPr>
            <w:tcW w:w="3322" w:type="dxa"/>
            <w:noWrap w:val="0"/>
            <w:vAlign w:val="top"/>
          </w:tcPr>
          <w:p w14:paraId="22D51DAF">
            <w:pPr>
              <w:rPr>
                <w:rFonts w:hint="eastAsia" w:ascii="宋体" w:hAnsi="宋体" w:cs="宋体"/>
                <w:spacing w:val="-20"/>
                <w:sz w:val="28"/>
                <w:szCs w:val="24"/>
                <w:highlight w:val="none"/>
              </w:rPr>
            </w:pPr>
          </w:p>
        </w:tc>
        <w:tc>
          <w:tcPr>
            <w:tcW w:w="1415" w:type="dxa"/>
            <w:noWrap w:val="0"/>
            <w:vAlign w:val="top"/>
          </w:tcPr>
          <w:p w14:paraId="03A4D94C">
            <w:pPr>
              <w:rPr>
                <w:rFonts w:hint="eastAsia" w:ascii="宋体" w:hAnsi="宋体" w:cs="宋体"/>
                <w:spacing w:val="-20"/>
                <w:sz w:val="28"/>
                <w:szCs w:val="24"/>
                <w:highlight w:val="none"/>
              </w:rPr>
            </w:pPr>
            <w:r>
              <w:rPr>
                <w:rFonts w:hint="eastAsia" w:ascii="宋体" w:hAnsi="宋体" w:cs="宋体"/>
                <w:spacing w:val="-20"/>
                <w:sz w:val="28"/>
                <w:szCs w:val="24"/>
                <w:highlight w:val="none"/>
              </w:rPr>
              <w:t>日    期</w:t>
            </w:r>
          </w:p>
        </w:tc>
        <w:tc>
          <w:tcPr>
            <w:tcW w:w="2841" w:type="dxa"/>
            <w:noWrap w:val="0"/>
            <w:vAlign w:val="top"/>
          </w:tcPr>
          <w:p w14:paraId="4D4F2C6C">
            <w:pPr>
              <w:rPr>
                <w:rFonts w:hint="eastAsia" w:ascii="宋体" w:hAnsi="宋体" w:cs="宋体"/>
                <w:sz w:val="28"/>
                <w:szCs w:val="24"/>
                <w:highlight w:val="none"/>
              </w:rPr>
            </w:pPr>
          </w:p>
        </w:tc>
      </w:tr>
      <w:tr w14:paraId="33D3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7" w:hRule="atLeast"/>
        </w:trPr>
        <w:tc>
          <w:tcPr>
            <w:tcW w:w="1368" w:type="dxa"/>
            <w:noWrap w:val="0"/>
            <w:vAlign w:val="center"/>
          </w:tcPr>
          <w:p w14:paraId="25A98215">
            <w:pPr>
              <w:jc w:val="center"/>
              <w:rPr>
                <w:rFonts w:hint="eastAsia" w:ascii="宋体" w:hAnsi="宋体" w:cs="宋体"/>
                <w:spacing w:val="-20"/>
                <w:sz w:val="28"/>
                <w:szCs w:val="24"/>
                <w:highlight w:val="none"/>
              </w:rPr>
            </w:pPr>
            <w:r>
              <w:rPr>
                <w:rFonts w:hint="eastAsia" w:ascii="宋体" w:hAnsi="宋体" w:cs="宋体"/>
                <w:spacing w:val="-20"/>
                <w:sz w:val="28"/>
                <w:szCs w:val="24"/>
                <w:highlight w:val="none"/>
              </w:rPr>
              <w:t>检查内容</w:t>
            </w:r>
          </w:p>
        </w:tc>
        <w:tc>
          <w:tcPr>
            <w:tcW w:w="7578" w:type="dxa"/>
            <w:gridSpan w:val="3"/>
            <w:noWrap w:val="0"/>
            <w:vAlign w:val="top"/>
          </w:tcPr>
          <w:p w14:paraId="73D62480">
            <w:pPr>
              <w:rPr>
                <w:rFonts w:hint="eastAsia" w:ascii="宋体" w:hAnsi="宋体" w:cs="宋体"/>
                <w:sz w:val="22"/>
                <w:szCs w:val="24"/>
                <w:highlight w:val="none"/>
              </w:rPr>
            </w:pPr>
          </w:p>
          <w:p w14:paraId="3120B357">
            <w:pPr>
              <w:pStyle w:val="5"/>
              <w:rPr>
                <w:rFonts w:hint="eastAsia" w:ascii="宋体" w:hAnsi="宋体" w:eastAsia="宋体" w:cs="宋体"/>
                <w:sz w:val="32"/>
                <w:szCs w:val="32"/>
                <w:highlight w:val="none"/>
              </w:rPr>
            </w:pPr>
          </w:p>
          <w:p w14:paraId="5CC3F140">
            <w:pPr>
              <w:rPr>
                <w:rFonts w:hint="eastAsia" w:ascii="宋体" w:hAnsi="宋体" w:cs="宋体"/>
                <w:sz w:val="22"/>
                <w:szCs w:val="24"/>
                <w:highlight w:val="none"/>
              </w:rPr>
            </w:pPr>
          </w:p>
          <w:p w14:paraId="70F6089C">
            <w:pPr>
              <w:pStyle w:val="5"/>
              <w:rPr>
                <w:rFonts w:hint="eastAsia" w:ascii="宋体" w:hAnsi="宋体" w:eastAsia="宋体" w:cs="宋体"/>
                <w:sz w:val="32"/>
                <w:szCs w:val="32"/>
                <w:highlight w:val="none"/>
              </w:rPr>
            </w:pPr>
          </w:p>
          <w:p w14:paraId="413D3528">
            <w:pPr>
              <w:rPr>
                <w:rFonts w:hint="eastAsia" w:ascii="宋体" w:hAnsi="宋体" w:cs="宋体"/>
                <w:sz w:val="22"/>
                <w:szCs w:val="24"/>
                <w:highlight w:val="none"/>
              </w:rPr>
            </w:pPr>
          </w:p>
          <w:p w14:paraId="2B433B3D">
            <w:pPr>
              <w:pStyle w:val="5"/>
              <w:rPr>
                <w:rFonts w:hint="eastAsia" w:ascii="宋体" w:hAnsi="宋体" w:eastAsia="宋体" w:cs="宋体"/>
                <w:sz w:val="32"/>
                <w:szCs w:val="32"/>
                <w:highlight w:val="none"/>
              </w:rPr>
            </w:pPr>
          </w:p>
        </w:tc>
      </w:tr>
      <w:tr w14:paraId="1624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trPr>
        <w:tc>
          <w:tcPr>
            <w:tcW w:w="8946" w:type="dxa"/>
            <w:gridSpan w:val="4"/>
            <w:noWrap w:val="0"/>
            <w:vAlign w:val="top"/>
          </w:tcPr>
          <w:p w14:paraId="4B64A375">
            <w:pPr>
              <w:rPr>
                <w:rFonts w:hint="eastAsia" w:ascii="宋体" w:hAnsi="宋体" w:cs="宋体"/>
                <w:sz w:val="28"/>
                <w:szCs w:val="24"/>
                <w:highlight w:val="none"/>
              </w:rPr>
            </w:pPr>
            <w:r>
              <w:rPr>
                <w:rFonts w:hint="eastAsia" w:ascii="宋体" w:hAnsi="宋体" w:cs="宋体"/>
                <w:sz w:val="28"/>
                <w:szCs w:val="24"/>
                <w:highlight w:val="none"/>
              </w:rPr>
              <w:t>检查小组意见：</w:t>
            </w:r>
          </w:p>
          <w:p w14:paraId="7D99CFA9">
            <w:pPr>
              <w:jc w:val="right"/>
              <w:rPr>
                <w:rFonts w:hint="eastAsia" w:ascii="宋体" w:hAnsi="宋体" w:cs="宋体"/>
                <w:sz w:val="28"/>
                <w:szCs w:val="24"/>
                <w:highlight w:val="none"/>
              </w:rPr>
            </w:pPr>
            <w:r>
              <w:rPr>
                <w:rFonts w:hint="eastAsia" w:ascii="宋体" w:hAnsi="宋体" w:cs="宋体"/>
                <w:sz w:val="28"/>
                <w:szCs w:val="24"/>
                <w:highlight w:val="none"/>
              </w:rPr>
              <w:t xml:space="preserve">    </w:t>
            </w:r>
          </w:p>
          <w:p w14:paraId="02D335CB">
            <w:pPr>
              <w:jc w:val="right"/>
              <w:rPr>
                <w:rFonts w:hint="eastAsia" w:ascii="宋体" w:hAnsi="宋体" w:cs="宋体"/>
                <w:sz w:val="28"/>
                <w:szCs w:val="24"/>
                <w:highlight w:val="none"/>
              </w:rPr>
            </w:pPr>
            <w:r>
              <w:rPr>
                <w:rFonts w:hint="eastAsia" w:ascii="宋体" w:hAnsi="宋体" w:cs="宋体"/>
                <w:sz w:val="28"/>
                <w:szCs w:val="24"/>
                <w:highlight w:val="none"/>
              </w:rPr>
              <w:t xml:space="preserve">   年   月   日    </w:t>
            </w:r>
          </w:p>
        </w:tc>
      </w:tr>
      <w:tr w14:paraId="437F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8946" w:type="dxa"/>
            <w:gridSpan w:val="4"/>
            <w:noWrap w:val="0"/>
            <w:vAlign w:val="top"/>
          </w:tcPr>
          <w:p w14:paraId="55570342">
            <w:pPr>
              <w:rPr>
                <w:rFonts w:hint="eastAsia" w:ascii="宋体" w:hAnsi="宋体" w:cs="宋体"/>
                <w:sz w:val="28"/>
                <w:szCs w:val="24"/>
                <w:highlight w:val="none"/>
              </w:rPr>
            </w:pPr>
            <w:r>
              <w:rPr>
                <w:rFonts w:hint="eastAsia" w:ascii="宋体" w:hAnsi="宋体" w:cs="宋体"/>
                <w:sz w:val="28"/>
                <w:szCs w:val="24"/>
                <w:highlight w:val="none"/>
              </w:rPr>
              <w:t>整改回复：</w:t>
            </w:r>
          </w:p>
          <w:p w14:paraId="60B26F04">
            <w:pPr>
              <w:pStyle w:val="5"/>
              <w:spacing w:line="240" w:lineRule="auto"/>
              <w:rPr>
                <w:rFonts w:hint="eastAsia" w:ascii="宋体" w:hAnsi="宋体" w:eastAsia="宋体" w:cs="宋体"/>
                <w:sz w:val="32"/>
                <w:szCs w:val="32"/>
                <w:highlight w:val="none"/>
              </w:rPr>
            </w:pPr>
          </w:p>
          <w:p w14:paraId="561F3989">
            <w:pPr>
              <w:rPr>
                <w:rFonts w:hint="eastAsia" w:ascii="宋体" w:hAnsi="宋体" w:cs="宋体"/>
                <w:sz w:val="28"/>
                <w:szCs w:val="24"/>
                <w:highlight w:val="none"/>
              </w:rPr>
            </w:pPr>
          </w:p>
          <w:p w14:paraId="26B1C29D">
            <w:pPr>
              <w:rPr>
                <w:rFonts w:hint="eastAsia" w:ascii="宋体" w:hAnsi="宋体" w:cs="宋体"/>
                <w:sz w:val="28"/>
                <w:szCs w:val="24"/>
                <w:highlight w:val="none"/>
              </w:rPr>
            </w:pPr>
            <w:r>
              <w:rPr>
                <w:rFonts w:hint="eastAsia" w:ascii="宋体" w:hAnsi="宋体" w:cs="宋体"/>
                <w:sz w:val="28"/>
                <w:szCs w:val="24"/>
                <w:highlight w:val="none"/>
              </w:rPr>
              <w:t xml:space="preserve">项目负责人：        部门负责人：      </w:t>
            </w:r>
            <w:r>
              <w:rPr>
                <w:rFonts w:hint="eastAsia" w:ascii="宋体" w:hAnsi="宋体" w:cs="宋体"/>
                <w:sz w:val="28"/>
                <w:szCs w:val="24"/>
                <w:highlight w:val="none"/>
                <w:lang w:val="en-US" w:eastAsia="zh-CN"/>
              </w:rPr>
              <w:t xml:space="preserve"> </w:t>
            </w:r>
            <w:r>
              <w:rPr>
                <w:rFonts w:hint="eastAsia" w:ascii="宋体" w:hAnsi="宋体" w:cs="宋体"/>
                <w:sz w:val="28"/>
                <w:szCs w:val="24"/>
                <w:highlight w:val="none"/>
              </w:rPr>
              <w:t xml:space="preserve">  分管领导：</w:t>
            </w:r>
          </w:p>
        </w:tc>
      </w:tr>
    </w:tbl>
    <w:p w14:paraId="0ABFCEAA">
      <w:pPr>
        <w:widowControl/>
        <w:jc w:val="left"/>
        <w:rPr>
          <w:rFonts w:hint="eastAsia" w:ascii="宋体" w:hAnsi="宋体" w:cs="宋体"/>
          <w:sz w:val="32"/>
          <w:szCs w:val="24"/>
          <w:highlight w:val="none"/>
        </w:rPr>
      </w:pPr>
      <w:r>
        <w:rPr>
          <w:rFonts w:hint="eastAsia" w:ascii="宋体" w:hAnsi="宋体" w:cs="宋体"/>
          <w:b/>
          <w:sz w:val="32"/>
          <w:szCs w:val="32"/>
          <w:highlight w:val="none"/>
        </w:rPr>
        <w:br w:type="page"/>
      </w:r>
      <w:r>
        <w:rPr>
          <w:rFonts w:hint="eastAsia" w:ascii="宋体" w:hAnsi="宋体" w:cs="宋体"/>
          <w:b/>
          <w:sz w:val="32"/>
          <w:szCs w:val="32"/>
          <w:highlight w:val="none"/>
        </w:rPr>
        <w:t>附件十四：</w:t>
      </w:r>
      <w:bookmarkStart w:id="626" w:name="bookmark0"/>
      <w:bookmarkStart w:id="627" w:name="bookmark1"/>
      <w:bookmarkStart w:id="628" w:name="bookmark2"/>
      <w:r>
        <w:rPr>
          <w:rFonts w:hint="eastAsia" w:ascii="宋体" w:hAnsi="宋体" w:cs="宋体"/>
          <w:sz w:val="32"/>
          <w:szCs w:val="24"/>
          <w:highlight w:val="none"/>
        </w:rPr>
        <w:t xml:space="preserve"> </w:t>
      </w:r>
      <w:r>
        <w:rPr>
          <w:rFonts w:hint="eastAsia" w:ascii="宋体" w:hAnsi="宋体" w:cs="宋体"/>
          <w:b/>
          <w:bCs/>
          <w:sz w:val="32"/>
          <w:szCs w:val="24"/>
          <w:highlight w:val="none"/>
        </w:rPr>
        <w:t>1园林绿化养护管理分级及质量要求</w:t>
      </w:r>
      <w:bookmarkEnd w:id="626"/>
      <w:bookmarkEnd w:id="627"/>
      <w:bookmarkEnd w:id="628"/>
    </w:p>
    <w:p w14:paraId="3DEFA778">
      <w:pPr>
        <w:pStyle w:val="24"/>
        <w:spacing w:after="120" w:line="390" w:lineRule="exact"/>
        <w:jc w:val="center"/>
        <w:rPr>
          <w:rFonts w:hint="eastAsia"/>
          <w:b/>
          <w:bCs/>
          <w:sz w:val="32"/>
          <w:szCs w:val="28"/>
          <w:highlight w:val="none"/>
          <w:lang w:val="en-US" w:eastAsia="zh-CN" w:bidi="en-US"/>
        </w:rPr>
      </w:pPr>
    </w:p>
    <w:p w14:paraId="2F3E812A">
      <w:pPr>
        <w:pStyle w:val="24"/>
        <w:spacing w:after="120" w:line="390" w:lineRule="exact"/>
        <w:jc w:val="center"/>
        <w:rPr>
          <w:rFonts w:hint="eastAsia"/>
          <w:b/>
          <w:bCs/>
          <w:sz w:val="32"/>
          <w:szCs w:val="21"/>
          <w:highlight w:val="none"/>
        </w:rPr>
      </w:pPr>
      <w:r>
        <w:rPr>
          <w:rFonts w:hint="eastAsia"/>
          <w:b/>
          <w:bCs/>
          <w:sz w:val="32"/>
          <w:szCs w:val="28"/>
          <w:highlight w:val="none"/>
          <w:lang w:val="en-US" w:eastAsia="zh-CN" w:bidi="en-US"/>
        </w:rPr>
        <w:t>1.1</w:t>
      </w:r>
      <w:r>
        <w:rPr>
          <w:rFonts w:hint="eastAsia"/>
          <w:b/>
          <w:bCs/>
          <w:sz w:val="32"/>
          <w:szCs w:val="21"/>
          <w:highlight w:val="none"/>
        </w:rPr>
        <w:t>园林绿化养护管理分级</w:t>
      </w:r>
    </w:p>
    <w:p w14:paraId="7CABE201">
      <w:pPr>
        <w:pStyle w:val="24"/>
        <w:spacing w:after="180" w:line="240"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bidi="en-US"/>
        </w:rPr>
        <w:t>1.1.2</w:t>
      </w:r>
      <w:r>
        <w:rPr>
          <w:rFonts w:hint="eastAsia" w:ascii="宋体" w:hAnsi="宋体" w:eastAsia="宋体" w:cs="宋体"/>
          <w:sz w:val="24"/>
          <w:szCs w:val="24"/>
          <w:highlight w:val="none"/>
        </w:rPr>
        <w:t>园林绿化养护管理分级质量应符合表</w:t>
      </w:r>
      <w:r>
        <w:rPr>
          <w:rFonts w:hint="eastAsia" w:ascii="宋体" w:hAnsi="宋体" w:eastAsia="宋体" w:cs="宋体"/>
          <w:sz w:val="24"/>
          <w:szCs w:val="24"/>
          <w:highlight w:val="none"/>
          <w:lang w:val="en-US" w:eastAsia="zh-CN" w:bidi="en-US"/>
        </w:rPr>
        <w:t xml:space="preserve">L 1. </w:t>
      </w:r>
      <w:r>
        <w:rPr>
          <w:rFonts w:hint="eastAsia" w:ascii="宋体" w:hAnsi="宋体" w:eastAsia="宋体" w:cs="宋体"/>
          <w:sz w:val="24"/>
          <w:szCs w:val="24"/>
          <w:highlight w:val="none"/>
        </w:rPr>
        <w:t>2的规定。</w:t>
      </w:r>
    </w:p>
    <w:p w14:paraId="015FE7A1">
      <w:pPr>
        <w:pStyle w:val="25"/>
        <w:ind w:left="168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表</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en-US" w:eastAsia="zh-CN" w:bidi="en-US"/>
        </w:rPr>
        <w:t>.1.2</w:t>
      </w:r>
      <w:r>
        <w:rPr>
          <w:rFonts w:hint="eastAsia" w:ascii="宋体" w:hAnsi="宋体" w:eastAsia="宋体" w:cs="宋体"/>
          <w:sz w:val="24"/>
          <w:szCs w:val="24"/>
          <w:highlight w:val="none"/>
        </w:rPr>
        <w:t>园林绿化养护管理分级质量</w:t>
      </w:r>
    </w:p>
    <w:tbl>
      <w:tblPr>
        <w:tblStyle w:val="14"/>
        <w:tblW w:w="8676" w:type="dxa"/>
        <w:tblInd w:w="0" w:type="dxa"/>
        <w:tblLayout w:type="fixed"/>
        <w:tblCellMar>
          <w:top w:w="0" w:type="dxa"/>
          <w:left w:w="10" w:type="dxa"/>
          <w:bottom w:w="0" w:type="dxa"/>
          <w:right w:w="10" w:type="dxa"/>
        </w:tblCellMar>
      </w:tblPr>
      <w:tblGrid>
        <w:gridCol w:w="666"/>
        <w:gridCol w:w="840"/>
        <w:gridCol w:w="2295"/>
        <w:gridCol w:w="2310"/>
        <w:gridCol w:w="2565"/>
      </w:tblGrid>
      <w:tr w14:paraId="72FD0A03">
        <w:tblPrEx>
          <w:tblCellMar>
            <w:top w:w="0" w:type="dxa"/>
            <w:left w:w="10" w:type="dxa"/>
            <w:bottom w:w="0" w:type="dxa"/>
            <w:right w:w="10" w:type="dxa"/>
          </w:tblCellMar>
        </w:tblPrEx>
        <w:trPr>
          <w:trHeight w:val="480" w:hRule="exact"/>
        </w:trPr>
        <w:tc>
          <w:tcPr>
            <w:tcW w:w="666" w:type="dxa"/>
            <w:vMerge w:val="restart"/>
            <w:tcBorders>
              <w:top w:val="single" w:color="auto" w:sz="4" w:space="0"/>
              <w:left w:val="single" w:color="auto" w:sz="4" w:space="0"/>
            </w:tcBorders>
            <w:shd w:val="clear" w:color="auto" w:fill="FFFFFF"/>
            <w:noWrap w:val="0"/>
            <w:vAlign w:val="center"/>
          </w:tcPr>
          <w:p w14:paraId="7B5F0B94">
            <w:pPr>
              <w:pStyle w:val="26"/>
              <w:spacing w:line="315"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 号</w:t>
            </w:r>
          </w:p>
        </w:tc>
        <w:tc>
          <w:tcPr>
            <w:tcW w:w="840" w:type="dxa"/>
            <w:vMerge w:val="restart"/>
            <w:tcBorders>
              <w:top w:val="single" w:color="auto" w:sz="4" w:space="0"/>
              <w:left w:val="single" w:color="auto" w:sz="4" w:space="0"/>
            </w:tcBorders>
            <w:shd w:val="clear" w:color="auto" w:fill="FFFFFF"/>
            <w:noWrap w:val="0"/>
            <w:vAlign w:val="center"/>
          </w:tcPr>
          <w:p w14:paraId="045817BE">
            <w:pPr>
              <w:pStyle w:val="26"/>
              <w:spacing w:line="240" w:lineRule="auto"/>
              <w:ind w:firstLine="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p>
        </w:tc>
        <w:tc>
          <w:tcPr>
            <w:tcW w:w="7170" w:type="dxa"/>
            <w:gridSpan w:val="3"/>
            <w:tcBorders>
              <w:top w:val="single" w:color="auto" w:sz="4" w:space="0"/>
              <w:left w:val="single" w:color="auto" w:sz="4" w:space="0"/>
              <w:right w:val="single" w:color="auto" w:sz="4" w:space="0"/>
            </w:tcBorders>
            <w:shd w:val="clear" w:color="auto" w:fill="FFFFFF"/>
            <w:noWrap w:val="0"/>
            <w:vAlign w:val="center"/>
          </w:tcPr>
          <w:p w14:paraId="107B0059">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级别</w:t>
            </w:r>
          </w:p>
        </w:tc>
      </w:tr>
      <w:tr w14:paraId="5CDEAF24">
        <w:tblPrEx>
          <w:tblCellMar>
            <w:top w:w="0" w:type="dxa"/>
            <w:left w:w="10" w:type="dxa"/>
            <w:bottom w:w="0" w:type="dxa"/>
            <w:right w:w="10" w:type="dxa"/>
          </w:tblCellMar>
        </w:tblPrEx>
        <w:trPr>
          <w:trHeight w:val="480" w:hRule="exact"/>
        </w:trPr>
        <w:tc>
          <w:tcPr>
            <w:tcW w:w="666" w:type="dxa"/>
            <w:vMerge w:val="continue"/>
            <w:tcBorders>
              <w:left w:val="single" w:color="auto" w:sz="4" w:space="0"/>
            </w:tcBorders>
            <w:shd w:val="clear" w:color="auto" w:fill="FFFFFF"/>
            <w:noWrap w:val="0"/>
            <w:vAlign w:val="center"/>
          </w:tcPr>
          <w:p w14:paraId="3D6B9E85">
            <w:pPr>
              <w:rPr>
                <w:rFonts w:hint="eastAsia" w:ascii="宋体" w:hAnsi="宋体" w:eastAsia="宋体" w:cs="宋体"/>
                <w:sz w:val="24"/>
                <w:szCs w:val="24"/>
                <w:highlight w:val="none"/>
              </w:rPr>
            </w:pPr>
          </w:p>
        </w:tc>
        <w:tc>
          <w:tcPr>
            <w:tcW w:w="840" w:type="dxa"/>
            <w:vMerge w:val="continue"/>
            <w:tcBorders>
              <w:left w:val="single" w:color="auto" w:sz="4" w:space="0"/>
            </w:tcBorders>
            <w:shd w:val="clear" w:color="auto" w:fill="FFFFFF"/>
            <w:noWrap w:val="0"/>
            <w:vAlign w:val="center"/>
          </w:tcPr>
          <w:p w14:paraId="0CADEE1F">
            <w:pPr>
              <w:rPr>
                <w:rFonts w:hint="eastAsia" w:ascii="宋体" w:hAnsi="宋体" w:eastAsia="宋体" w:cs="宋体"/>
                <w:sz w:val="24"/>
                <w:szCs w:val="24"/>
                <w:highlight w:val="none"/>
              </w:rPr>
            </w:pPr>
          </w:p>
        </w:tc>
        <w:tc>
          <w:tcPr>
            <w:tcW w:w="2295" w:type="dxa"/>
            <w:tcBorders>
              <w:top w:val="single" w:color="auto" w:sz="4" w:space="0"/>
              <w:left w:val="single" w:color="auto" w:sz="4" w:space="0"/>
            </w:tcBorders>
            <w:shd w:val="clear" w:color="auto" w:fill="FFFFFF"/>
            <w:noWrap w:val="0"/>
            <w:vAlign w:val="center"/>
          </w:tcPr>
          <w:p w14:paraId="2DFDB6D6">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一级</w:t>
            </w:r>
          </w:p>
        </w:tc>
        <w:tc>
          <w:tcPr>
            <w:tcW w:w="2310" w:type="dxa"/>
            <w:tcBorders>
              <w:top w:val="single" w:color="auto" w:sz="4" w:space="0"/>
              <w:left w:val="single" w:color="auto" w:sz="4" w:space="0"/>
            </w:tcBorders>
            <w:shd w:val="clear" w:color="auto" w:fill="FFFFFF"/>
            <w:noWrap w:val="0"/>
            <w:vAlign w:val="center"/>
          </w:tcPr>
          <w:p w14:paraId="6504E592">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二级</w:t>
            </w:r>
          </w:p>
        </w:tc>
        <w:tc>
          <w:tcPr>
            <w:tcW w:w="2565" w:type="dxa"/>
            <w:tcBorders>
              <w:top w:val="single" w:color="auto" w:sz="4" w:space="0"/>
              <w:left w:val="single" w:color="auto" w:sz="4" w:space="0"/>
              <w:right w:val="single" w:color="auto" w:sz="4" w:space="0"/>
            </w:tcBorders>
            <w:shd w:val="clear" w:color="auto" w:fill="FFFFFF"/>
            <w:noWrap w:val="0"/>
            <w:vAlign w:val="center"/>
          </w:tcPr>
          <w:p w14:paraId="0AFA5F71">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三級</w:t>
            </w:r>
          </w:p>
        </w:tc>
      </w:tr>
      <w:tr w14:paraId="507FA9B2">
        <w:tblPrEx>
          <w:tblCellMar>
            <w:top w:w="0" w:type="dxa"/>
            <w:left w:w="10" w:type="dxa"/>
            <w:bottom w:w="0" w:type="dxa"/>
            <w:right w:w="10" w:type="dxa"/>
          </w:tblCellMar>
        </w:tblPrEx>
        <w:trPr>
          <w:trHeight w:val="720" w:hRule="exact"/>
        </w:trPr>
        <w:tc>
          <w:tcPr>
            <w:tcW w:w="666" w:type="dxa"/>
            <w:tcBorders>
              <w:top w:val="single" w:color="auto" w:sz="4" w:space="0"/>
              <w:left w:val="single" w:color="auto" w:sz="4" w:space="0"/>
            </w:tcBorders>
            <w:shd w:val="clear" w:color="auto" w:fill="FFFFFF"/>
            <w:noWrap w:val="0"/>
            <w:vAlign w:val="center"/>
          </w:tcPr>
          <w:p w14:paraId="2243351F">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40" w:type="dxa"/>
            <w:tcBorders>
              <w:top w:val="single" w:color="auto" w:sz="4" w:space="0"/>
              <w:left w:val="single" w:color="auto" w:sz="4" w:space="0"/>
            </w:tcBorders>
            <w:shd w:val="clear" w:color="auto" w:fill="FFFFFF"/>
            <w:noWrap w:val="0"/>
            <w:vAlign w:val="center"/>
          </w:tcPr>
          <w:p w14:paraId="2AD74A85">
            <w:pPr>
              <w:pStyle w:val="26"/>
              <w:spacing w:line="240" w:lineRule="auto"/>
              <w:ind w:firstLine="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树木</w:t>
            </w:r>
          </w:p>
        </w:tc>
        <w:tc>
          <w:tcPr>
            <w:tcW w:w="2295" w:type="dxa"/>
            <w:tcBorders>
              <w:top w:val="single" w:color="auto" w:sz="4" w:space="0"/>
              <w:left w:val="single" w:color="auto" w:sz="4" w:space="0"/>
            </w:tcBorders>
            <w:shd w:val="clear" w:color="auto" w:fill="FFFFFF"/>
            <w:noWrap w:val="0"/>
            <w:vAlign w:val="center"/>
          </w:tcPr>
          <w:p w14:paraId="70FD49E0">
            <w:pPr>
              <w:pStyle w:val="26"/>
              <w:spacing w:line="240" w:lineRule="auto"/>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树木养护质</w:t>
            </w:r>
            <w:r>
              <w:rPr>
                <w:rFonts w:hint="eastAsia" w:ascii="宋体" w:hAnsi="宋体" w:eastAsia="宋体" w:cs="宋体"/>
                <w:sz w:val="24"/>
                <w:szCs w:val="24"/>
                <w:highlight w:val="none"/>
                <w:lang w:val="en-US" w:eastAsia="zh-CN"/>
              </w:rPr>
              <w:t>量</w:t>
            </w:r>
            <w:r>
              <w:rPr>
                <w:rFonts w:hint="eastAsia" w:ascii="宋体" w:hAnsi="宋体" w:eastAsia="宋体" w:cs="宋体"/>
                <w:sz w:val="24"/>
                <w:szCs w:val="24"/>
                <w:highlight w:val="none"/>
              </w:rPr>
              <w:t>一级</w:t>
            </w:r>
          </w:p>
        </w:tc>
        <w:tc>
          <w:tcPr>
            <w:tcW w:w="2310" w:type="dxa"/>
            <w:tcBorders>
              <w:top w:val="single" w:color="auto" w:sz="4" w:space="0"/>
              <w:left w:val="single" w:color="auto" w:sz="4" w:space="0"/>
            </w:tcBorders>
            <w:shd w:val="clear" w:color="auto" w:fill="FFFFFF"/>
            <w:noWrap w:val="0"/>
            <w:vAlign w:val="center"/>
          </w:tcPr>
          <w:p w14:paraId="47CB95BF">
            <w:pPr>
              <w:pStyle w:val="26"/>
              <w:spacing w:line="240" w:lineRule="auto"/>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树木养护质</w:t>
            </w:r>
            <w:r>
              <w:rPr>
                <w:rFonts w:hint="eastAsia" w:ascii="宋体" w:hAnsi="宋体" w:eastAsia="宋体" w:cs="宋体"/>
                <w:sz w:val="24"/>
                <w:szCs w:val="24"/>
                <w:highlight w:val="none"/>
                <w:lang w:val="en-US" w:eastAsia="zh-CN"/>
              </w:rPr>
              <w:t>量</w:t>
            </w:r>
            <w:r>
              <w:rPr>
                <w:rFonts w:hint="eastAsia" w:ascii="宋体" w:hAnsi="宋体" w:eastAsia="宋体" w:cs="宋体"/>
                <w:sz w:val="24"/>
                <w:szCs w:val="24"/>
                <w:highlight w:val="none"/>
              </w:rPr>
              <w:t>二级</w:t>
            </w:r>
          </w:p>
        </w:tc>
        <w:tc>
          <w:tcPr>
            <w:tcW w:w="2565" w:type="dxa"/>
            <w:tcBorders>
              <w:top w:val="single" w:color="auto" w:sz="4" w:space="0"/>
              <w:left w:val="single" w:color="auto" w:sz="4" w:space="0"/>
              <w:right w:val="single" w:color="auto" w:sz="4" w:space="0"/>
            </w:tcBorders>
            <w:shd w:val="clear" w:color="auto" w:fill="FFFFFF"/>
            <w:noWrap w:val="0"/>
            <w:vAlign w:val="center"/>
          </w:tcPr>
          <w:p w14:paraId="29217180">
            <w:pPr>
              <w:pStyle w:val="26"/>
              <w:spacing w:line="240" w:lineRule="auto"/>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树木养护质</w:t>
            </w:r>
            <w:r>
              <w:rPr>
                <w:rFonts w:hint="eastAsia" w:ascii="宋体" w:hAnsi="宋体" w:eastAsia="宋体" w:cs="宋体"/>
                <w:sz w:val="24"/>
                <w:szCs w:val="24"/>
                <w:highlight w:val="none"/>
                <w:lang w:val="en-US" w:eastAsia="zh-CN"/>
              </w:rPr>
              <w:t>量</w:t>
            </w:r>
            <w:r>
              <w:rPr>
                <w:rFonts w:hint="eastAsia" w:ascii="宋体" w:hAnsi="宋体" w:eastAsia="宋体" w:cs="宋体"/>
                <w:sz w:val="24"/>
                <w:szCs w:val="24"/>
                <w:highlight w:val="none"/>
              </w:rPr>
              <w:t>三级</w:t>
            </w:r>
          </w:p>
        </w:tc>
      </w:tr>
      <w:tr w14:paraId="3C9B8F1D">
        <w:tblPrEx>
          <w:tblCellMar>
            <w:top w:w="0" w:type="dxa"/>
            <w:left w:w="10" w:type="dxa"/>
            <w:bottom w:w="0" w:type="dxa"/>
            <w:right w:w="10" w:type="dxa"/>
          </w:tblCellMar>
        </w:tblPrEx>
        <w:trPr>
          <w:trHeight w:val="765" w:hRule="exact"/>
        </w:trPr>
        <w:tc>
          <w:tcPr>
            <w:tcW w:w="666" w:type="dxa"/>
            <w:tcBorders>
              <w:top w:val="single" w:color="auto" w:sz="4" w:space="0"/>
              <w:left w:val="single" w:color="auto" w:sz="4" w:space="0"/>
            </w:tcBorders>
            <w:shd w:val="clear" w:color="auto" w:fill="FFFFFF"/>
            <w:noWrap w:val="0"/>
            <w:vAlign w:val="center"/>
          </w:tcPr>
          <w:p w14:paraId="0704F58D">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40" w:type="dxa"/>
            <w:tcBorders>
              <w:top w:val="single" w:color="auto" w:sz="4" w:space="0"/>
              <w:left w:val="single" w:color="auto" w:sz="4" w:space="0"/>
            </w:tcBorders>
            <w:shd w:val="clear" w:color="auto" w:fill="FFFFFF"/>
            <w:noWrap w:val="0"/>
            <w:vAlign w:val="center"/>
          </w:tcPr>
          <w:p w14:paraId="40FFB340">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花卉</w:t>
            </w:r>
          </w:p>
        </w:tc>
        <w:tc>
          <w:tcPr>
            <w:tcW w:w="2295" w:type="dxa"/>
            <w:tcBorders>
              <w:top w:val="single" w:color="auto" w:sz="4" w:space="0"/>
              <w:left w:val="single" w:color="auto" w:sz="4" w:space="0"/>
            </w:tcBorders>
            <w:shd w:val="clear" w:color="auto" w:fill="FFFFFF"/>
            <w:noWrap w:val="0"/>
            <w:vAlign w:val="center"/>
          </w:tcPr>
          <w:p w14:paraId="200942B4">
            <w:pPr>
              <w:pStyle w:val="26"/>
              <w:spacing w:line="240" w:lineRule="auto"/>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花卉养护质质</w:t>
            </w:r>
            <w:r>
              <w:rPr>
                <w:rFonts w:hint="eastAsia" w:ascii="宋体" w:hAnsi="宋体" w:eastAsia="宋体" w:cs="宋体"/>
                <w:sz w:val="24"/>
                <w:szCs w:val="24"/>
                <w:highlight w:val="none"/>
                <w:lang w:val="en-US" w:eastAsia="zh-CN"/>
              </w:rPr>
              <w:t>量</w:t>
            </w:r>
            <w:r>
              <w:rPr>
                <w:rFonts w:hint="eastAsia" w:ascii="宋体" w:hAnsi="宋体" w:eastAsia="宋体" w:cs="宋体"/>
                <w:sz w:val="24"/>
                <w:szCs w:val="24"/>
                <w:highlight w:val="none"/>
              </w:rPr>
              <w:t>一级</w:t>
            </w:r>
          </w:p>
        </w:tc>
        <w:tc>
          <w:tcPr>
            <w:tcW w:w="2310" w:type="dxa"/>
            <w:tcBorders>
              <w:top w:val="single" w:color="auto" w:sz="4" w:space="0"/>
              <w:left w:val="single" w:color="auto" w:sz="4" w:space="0"/>
            </w:tcBorders>
            <w:shd w:val="clear" w:color="auto" w:fill="FFFFFF"/>
            <w:noWrap w:val="0"/>
            <w:vAlign w:val="center"/>
          </w:tcPr>
          <w:p w14:paraId="5F032BE1">
            <w:pPr>
              <w:pStyle w:val="26"/>
              <w:spacing w:line="240" w:lineRule="auto"/>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花卉养护质</w:t>
            </w:r>
            <w:r>
              <w:rPr>
                <w:rFonts w:hint="eastAsia" w:ascii="宋体" w:hAnsi="宋体" w:eastAsia="宋体" w:cs="宋体"/>
                <w:sz w:val="24"/>
                <w:szCs w:val="24"/>
                <w:highlight w:val="none"/>
                <w:lang w:val="en-US" w:eastAsia="zh-CN"/>
              </w:rPr>
              <w:t>量</w:t>
            </w:r>
            <w:r>
              <w:rPr>
                <w:rFonts w:hint="eastAsia" w:ascii="宋体" w:hAnsi="宋体" w:eastAsia="宋体" w:cs="宋体"/>
                <w:sz w:val="24"/>
                <w:szCs w:val="24"/>
                <w:highlight w:val="none"/>
              </w:rPr>
              <w:t>二级</w:t>
            </w:r>
          </w:p>
        </w:tc>
        <w:tc>
          <w:tcPr>
            <w:tcW w:w="2565" w:type="dxa"/>
            <w:tcBorders>
              <w:top w:val="single" w:color="auto" w:sz="4" w:space="0"/>
              <w:left w:val="single" w:color="auto" w:sz="4" w:space="0"/>
              <w:right w:val="single" w:color="auto" w:sz="4" w:space="0"/>
            </w:tcBorders>
            <w:shd w:val="clear" w:color="auto" w:fill="FFFFFF"/>
            <w:noWrap w:val="0"/>
            <w:vAlign w:val="center"/>
          </w:tcPr>
          <w:p w14:paraId="4DA84F03">
            <w:pPr>
              <w:pStyle w:val="26"/>
              <w:spacing w:line="240" w:lineRule="auto"/>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花卉养护质</w:t>
            </w:r>
            <w:r>
              <w:rPr>
                <w:rFonts w:hint="eastAsia" w:ascii="宋体" w:hAnsi="宋体" w:eastAsia="宋体" w:cs="宋体"/>
                <w:sz w:val="24"/>
                <w:szCs w:val="24"/>
                <w:highlight w:val="none"/>
                <w:lang w:val="en-US" w:eastAsia="zh-CN"/>
              </w:rPr>
              <w:t>量</w:t>
            </w:r>
            <w:r>
              <w:rPr>
                <w:rFonts w:hint="eastAsia" w:ascii="宋体" w:hAnsi="宋体" w:eastAsia="宋体" w:cs="宋体"/>
                <w:sz w:val="24"/>
                <w:szCs w:val="24"/>
                <w:highlight w:val="none"/>
              </w:rPr>
              <w:t>三级</w:t>
            </w:r>
          </w:p>
        </w:tc>
      </w:tr>
      <w:tr w14:paraId="251F3A58">
        <w:tblPrEx>
          <w:tblCellMar>
            <w:top w:w="0" w:type="dxa"/>
            <w:left w:w="10" w:type="dxa"/>
            <w:bottom w:w="0" w:type="dxa"/>
            <w:right w:w="10" w:type="dxa"/>
          </w:tblCellMar>
        </w:tblPrEx>
        <w:trPr>
          <w:trHeight w:val="700" w:hRule="exact"/>
        </w:trPr>
        <w:tc>
          <w:tcPr>
            <w:tcW w:w="666" w:type="dxa"/>
            <w:tcBorders>
              <w:top w:val="single" w:color="auto" w:sz="4" w:space="0"/>
              <w:left w:val="single" w:color="auto" w:sz="4" w:space="0"/>
            </w:tcBorders>
            <w:shd w:val="clear" w:color="auto" w:fill="FFFFFF"/>
            <w:noWrap w:val="0"/>
            <w:vAlign w:val="center"/>
          </w:tcPr>
          <w:p w14:paraId="42E99FE9">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840" w:type="dxa"/>
            <w:tcBorders>
              <w:top w:val="single" w:color="auto" w:sz="4" w:space="0"/>
              <w:left w:val="single" w:color="auto" w:sz="4" w:space="0"/>
            </w:tcBorders>
            <w:shd w:val="clear" w:color="auto" w:fill="FFFFFF"/>
            <w:noWrap w:val="0"/>
            <w:vAlign w:val="center"/>
          </w:tcPr>
          <w:p w14:paraId="27444AF5">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草坪</w:t>
            </w:r>
          </w:p>
        </w:tc>
        <w:tc>
          <w:tcPr>
            <w:tcW w:w="2295" w:type="dxa"/>
            <w:tcBorders>
              <w:top w:val="single" w:color="auto" w:sz="4" w:space="0"/>
              <w:left w:val="single" w:color="auto" w:sz="4" w:space="0"/>
            </w:tcBorders>
            <w:shd w:val="clear" w:color="auto" w:fill="FFFFFF"/>
            <w:noWrap w:val="0"/>
            <w:vAlign w:val="center"/>
          </w:tcPr>
          <w:p w14:paraId="0A131539">
            <w:pPr>
              <w:pStyle w:val="26"/>
              <w:spacing w:line="240" w:lineRule="auto"/>
              <w:ind w:firstLine="26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草坪养护质</w:t>
            </w:r>
            <w:r>
              <w:rPr>
                <w:rFonts w:hint="eastAsia" w:ascii="宋体" w:hAnsi="宋体" w:eastAsia="宋体" w:cs="宋体"/>
                <w:sz w:val="24"/>
                <w:szCs w:val="24"/>
                <w:highlight w:val="none"/>
                <w:lang w:val="en-US" w:eastAsia="zh-CN"/>
              </w:rPr>
              <w:t>量</w:t>
            </w:r>
            <w:r>
              <w:rPr>
                <w:rFonts w:hint="eastAsia" w:ascii="宋体" w:hAnsi="宋体" w:eastAsia="宋体" w:cs="宋体"/>
                <w:sz w:val="24"/>
                <w:szCs w:val="24"/>
                <w:highlight w:val="none"/>
              </w:rPr>
              <w:t>一</w:t>
            </w:r>
            <w:r>
              <w:rPr>
                <w:rFonts w:hint="eastAsia" w:ascii="宋体" w:hAnsi="宋体" w:eastAsia="宋体" w:cs="宋体"/>
                <w:sz w:val="24"/>
                <w:szCs w:val="24"/>
                <w:highlight w:val="none"/>
                <w:lang w:val="en-US" w:eastAsia="zh-CN"/>
              </w:rPr>
              <w:t>级</w:t>
            </w:r>
          </w:p>
        </w:tc>
        <w:tc>
          <w:tcPr>
            <w:tcW w:w="2310" w:type="dxa"/>
            <w:tcBorders>
              <w:top w:val="single" w:color="auto" w:sz="4" w:space="0"/>
              <w:left w:val="single" w:color="auto" w:sz="4" w:space="0"/>
            </w:tcBorders>
            <w:shd w:val="clear" w:color="auto" w:fill="FFFFFF"/>
            <w:noWrap w:val="0"/>
            <w:vAlign w:val="center"/>
          </w:tcPr>
          <w:p w14:paraId="00541990">
            <w:pPr>
              <w:pStyle w:val="26"/>
              <w:spacing w:line="240" w:lineRule="auto"/>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草</w:t>
            </w:r>
            <w:r>
              <w:rPr>
                <w:rFonts w:hint="eastAsia" w:ascii="宋体" w:hAnsi="宋体" w:eastAsia="宋体" w:cs="宋体"/>
                <w:sz w:val="24"/>
                <w:szCs w:val="24"/>
                <w:highlight w:val="none"/>
              </w:rPr>
              <w:t>坪养护质</w:t>
            </w:r>
            <w:r>
              <w:rPr>
                <w:rFonts w:hint="eastAsia" w:ascii="宋体" w:hAnsi="宋体" w:eastAsia="宋体" w:cs="宋体"/>
                <w:sz w:val="24"/>
                <w:szCs w:val="24"/>
                <w:highlight w:val="none"/>
                <w:lang w:val="en-US" w:eastAsia="zh-CN"/>
              </w:rPr>
              <w:t>量</w:t>
            </w:r>
            <w:r>
              <w:rPr>
                <w:rFonts w:hint="eastAsia" w:ascii="宋体" w:hAnsi="宋体" w:eastAsia="宋体" w:cs="宋体"/>
                <w:sz w:val="24"/>
                <w:szCs w:val="24"/>
                <w:highlight w:val="none"/>
              </w:rPr>
              <w:t>二级</w:t>
            </w:r>
          </w:p>
        </w:tc>
        <w:tc>
          <w:tcPr>
            <w:tcW w:w="2565" w:type="dxa"/>
            <w:tcBorders>
              <w:top w:val="single" w:color="auto" w:sz="4" w:space="0"/>
              <w:left w:val="single" w:color="auto" w:sz="4" w:space="0"/>
              <w:right w:val="single" w:color="auto" w:sz="4" w:space="0"/>
            </w:tcBorders>
            <w:shd w:val="clear" w:color="auto" w:fill="FFFFFF"/>
            <w:noWrap w:val="0"/>
            <w:vAlign w:val="center"/>
          </w:tcPr>
          <w:p w14:paraId="45FF8927">
            <w:pPr>
              <w:pStyle w:val="26"/>
              <w:spacing w:line="240" w:lineRule="auto"/>
              <w:ind w:firstLine="26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草坪养护质</w:t>
            </w:r>
            <w:r>
              <w:rPr>
                <w:rFonts w:hint="eastAsia" w:ascii="宋体" w:hAnsi="宋体" w:eastAsia="宋体" w:cs="宋体"/>
                <w:sz w:val="24"/>
                <w:szCs w:val="24"/>
                <w:highlight w:val="none"/>
                <w:lang w:val="en-US" w:eastAsia="zh-CN"/>
              </w:rPr>
              <w:t>量三级</w:t>
            </w:r>
          </w:p>
        </w:tc>
      </w:tr>
      <w:tr w14:paraId="3B8F8646">
        <w:tblPrEx>
          <w:tblCellMar>
            <w:top w:w="0" w:type="dxa"/>
            <w:left w:w="10" w:type="dxa"/>
            <w:bottom w:w="0" w:type="dxa"/>
            <w:right w:w="10" w:type="dxa"/>
          </w:tblCellMar>
        </w:tblPrEx>
        <w:trPr>
          <w:trHeight w:val="750" w:hRule="exact"/>
        </w:trPr>
        <w:tc>
          <w:tcPr>
            <w:tcW w:w="666" w:type="dxa"/>
            <w:tcBorders>
              <w:top w:val="single" w:color="auto" w:sz="4" w:space="0"/>
              <w:left w:val="single" w:color="auto" w:sz="4" w:space="0"/>
            </w:tcBorders>
            <w:shd w:val="clear" w:color="auto" w:fill="FFFFFF"/>
            <w:noWrap w:val="0"/>
            <w:vAlign w:val="center"/>
          </w:tcPr>
          <w:p w14:paraId="6ED35498">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840" w:type="dxa"/>
            <w:tcBorders>
              <w:top w:val="single" w:color="auto" w:sz="4" w:space="0"/>
              <w:left w:val="single" w:color="auto" w:sz="4" w:space="0"/>
            </w:tcBorders>
            <w:shd w:val="clear" w:color="auto" w:fill="FFFFFF"/>
            <w:noWrap w:val="0"/>
            <w:vAlign w:val="center"/>
          </w:tcPr>
          <w:p w14:paraId="0197B918">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地被植物</w:t>
            </w:r>
          </w:p>
        </w:tc>
        <w:tc>
          <w:tcPr>
            <w:tcW w:w="2295" w:type="dxa"/>
            <w:tcBorders>
              <w:top w:val="single" w:color="auto" w:sz="4" w:space="0"/>
              <w:left w:val="single" w:color="auto" w:sz="4" w:space="0"/>
            </w:tcBorders>
            <w:shd w:val="clear" w:color="auto" w:fill="FFFFFF"/>
            <w:noWrap w:val="0"/>
            <w:vAlign w:val="center"/>
          </w:tcPr>
          <w:p w14:paraId="17F6FC69">
            <w:pPr>
              <w:pStyle w:val="26"/>
              <w:spacing w:line="300" w:lineRule="exact"/>
              <w:ind w:firstLine="26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地被植物舞护质</w:t>
            </w:r>
            <w:r>
              <w:rPr>
                <w:rFonts w:hint="eastAsia" w:ascii="宋体" w:hAnsi="宋体" w:eastAsia="宋体" w:cs="宋体"/>
                <w:sz w:val="24"/>
                <w:szCs w:val="24"/>
                <w:highlight w:val="none"/>
                <w:lang w:val="en-US" w:eastAsia="zh-CN"/>
              </w:rPr>
              <w:t>量</w:t>
            </w:r>
            <w:r>
              <w:rPr>
                <w:rFonts w:hint="eastAsia" w:ascii="宋体" w:hAnsi="宋体" w:eastAsia="宋体" w:cs="宋体"/>
                <w:sz w:val="24"/>
                <w:szCs w:val="24"/>
                <w:highlight w:val="none"/>
              </w:rPr>
              <w:t xml:space="preserve"> 一</w:t>
            </w:r>
            <w:r>
              <w:rPr>
                <w:rFonts w:hint="eastAsia" w:ascii="宋体" w:hAnsi="宋体" w:eastAsia="宋体" w:cs="宋体"/>
                <w:sz w:val="24"/>
                <w:szCs w:val="24"/>
                <w:highlight w:val="none"/>
                <w:lang w:val="en-US" w:eastAsia="zh-CN"/>
              </w:rPr>
              <w:t>级</w:t>
            </w:r>
          </w:p>
        </w:tc>
        <w:tc>
          <w:tcPr>
            <w:tcW w:w="2310" w:type="dxa"/>
            <w:tcBorders>
              <w:top w:val="single" w:color="auto" w:sz="4" w:space="0"/>
              <w:left w:val="single" w:color="auto" w:sz="4" w:space="0"/>
            </w:tcBorders>
            <w:shd w:val="clear" w:color="auto" w:fill="FFFFFF"/>
            <w:noWrap w:val="0"/>
            <w:vAlign w:val="center"/>
          </w:tcPr>
          <w:p w14:paraId="2828BBE2">
            <w:pPr>
              <w:pStyle w:val="26"/>
              <w:spacing w:line="315" w:lineRule="exact"/>
              <w:ind w:firstLine="26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地被植物</w:t>
            </w:r>
            <w:r>
              <w:rPr>
                <w:rFonts w:hint="eastAsia" w:ascii="宋体" w:hAnsi="宋体" w:eastAsia="宋体" w:cs="宋体"/>
                <w:sz w:val="24"/>
                <w:szCs w:val="24"/>
                <w:highlight w:val="none"/>
                <w:lang w:val="en-US" w:eastAsia="zh-CN"/>
              </w:rPr>
              <w:t>养护质量</w:t>
            </w:r>
            <w:r>
              <w:rPr>
                <w:rFonts w:hint="eastAsia" w:ascii="宋体" w:hAnsi="宋体" w:eastAsia="宋体" w:cs="宋体"/>
                <w:sz w:val="24"/>
                <w:szCs w:val="24"/>
                <w:highlight w:val="none"/>
              </w:rPr>
              <w:t>二</w:t>
            </w:r>
            <w:r>
              <w:rPr>
                <w:rFonts w:hint="eastAsia" w:ascii="宋体" w:hAnsi="宋体" w:eastAsia="宋体" w:cs="宋体"/>
                <w:sz w:val="24"/>
                <w:szCs w:val="24"/>
                <w:highlight w:val="none"/>
                <w:lang w:val="en-US" w:eastAsia="zh-CN"/>
              </w:rPr>
              <w:t>级</w:t>
            </w:r>
          </w:p>
        </w:tc>
        <w:tc>
          <w:tcPr>
            <w:tcW w:w="2565" w:type="dxa"/>
            <w:tcBorders>
              <w:top w:val="single" w:color="auto" w:sz="4" w:space="0"/>
              <w:left w:val="single" w:color="auto" w:sz="4" w:space="0"/>
              <w:right w:val="single" w:color="auto" w:sz="4" w:space="0"/>
            </w:tcBorders>
            <w:shd w:val="clear" w:color="auto" w:fill="FFFFFF"/>
            <w:noWrap w:val="0"/>
            <w:vAlign w:val="center"/>
          </w:tcPr>
          <w:p w14:paraId="071912B7">
            <w:pPr>
              <w:pStyle w:val="26"/>
              <w:spacing w:after="60" w:line="240" w:lineRule="auto"/>
              <w:ind w:firstLine="26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地被植物养护</w:t>
            </w:r>
            <w:r>
              <w:rPr>
                <w:rFonts w:hint="eastAsia" w:ascii="宋体" w:hAnsi="宋体" w:eastAsia="宋体" w:cs="宋体"/>
                <w:sz w:val="24"/>
                <w:szCs w:val="24"/>
                <w:highlight w:val="none"/>
                <w:lang w:val="en-US" w:eastAsia="zh-CN"/>
              </w:rPr>
              <w:t>质量三级</w:t>
            </w:r>
          </w:p>
          <w:p w14:paraId="0C75A193">
            <w:pPr>
              <w:pStyle w:val="26"/>
              <w:spacing w:line="240" w:lineRule="auto"/>
              <w:ind w:firstLine="18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.级</w:t>
            </w:r>
          </w:p>
        </w:tc>
      </w:tr>
      <w:tr w14:paraId="040F91DD">
        <w:tblPrEx>
          <w:tblCellMar>
            <w:top w:w="0" w:type="dxa"/>
            <w:left w:w="10" w:type="dxa"/>
            <w:bottom w:w="0" w:type="dxa"/>
            <w:right w:w="10" w:type="dxa"/>
          </w:tblCellMar>
        </w:tblPrEx>
        <w:trPr>
          <w:trHeight w:val="735" w:hRule="exact"/>
        </w:trPr>
        <w:tc>
          <w:tcPr>
            <w:tcW w:w="666" w:type="dxa"/>
            <w:tcBorders>
              <w:top w:val="single" w:color="auto" w:sz="4" w:space="0"/>
              <w:left w:val="single" w:color="auto" w:sz="4" w:space="0"/>
            </w:tcBorders>
            <w:shd w:val="clear" w:color="auto" w:fill="FFFFFF"/>
            <w:noWrap w:val="0"/>
            <w:vAlign w:val="top"/>
          </w:tcPr>
          <w:p w14:paraId="18902C99">
            <w:pPr>
              <w:jc w:val="center"/>
              <w:rPr>
                <w:rFonts w:hint="eastAsia" w:ascii="宋体" w:hAnsi="宋体" w:eastAsia="宋体" w:cs="宋体"/>
                <w:sz w:val="24"/>
                <w:szCs w:val="24"/>
                <w:highlight w:val="none"/>
              </w:rPr>
            </w:pPr>
          </w:p>
        </w:tc>
        <w:tc>
          <w:tcPr>
            <w:tcW w:w="840" w:type="dxa"/>
            <w:tcBorders>
              <w:top w:val="single" w:color="auto" w:sz="4" w:space="0"/>
              <w:left w:val="single" w:color="auto" w:sz="4" w:space="0"/>
            </w:tcBorders>
            <w:shd w:val="clear" w:color="auto" w:fill="FFFFFF"/>
            <w:noWrap w:val="0"/>
            <w:vAlign w:val="center"/>
          </w:tcPr>
          <w:p w14:paraId="18DD3241">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水生植物</w:t>
            </w:r>
          </w:p>
        </w:tc>
        <w:tc>
          <w:tcPr>
            <w:tcW w:w="2295" w:type="dxa"/>
            <w:tcBorders>
              <w:top w:val="single" w:color="auto" w:sz="4" w:space="0"/>
              <w:left w:val="single" w:color="auto" w:sz="4" w:space="0"/>
            </w:tcBorders>
            <w:shd w:val="clear" w:color="auto" w:fill="FFFFFF"/>
            <w:noWrap w:val="0"/>
            <w:vAlign w:val="center"/>
          </w:tcPr>
          <w:p w14:paraId="0F19CF64">
            <w:pPr>
              <w:pStyle w:val="26"/>
              <w:spacing w:line="300" w:lineRule="exact"/>
              <w:ind w:firstLine="26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水生植物养护</w:t>
            </w:r>
            <w:r>
              <w:rPr>
                <w:rFonts w:hint="eastAsia" w:ascii="宋体" w:hAnsi="宋体" w:eastAsia="宋体" w:cs="宋体"/>
                <w:sz w:val="24"/>
                <w:szCs w:val="24"/>
                <w:highlight w:val="none"/>
                <w:lang w:val="en-US" w:eastAsia="zh-CN"/>
              </w:rPr>
              <w:t>质量一级</w:t>
            </w:r>
          </w:p>
        </w:tc>
        <w:tc>
          <w:tcPr>
            <w:tcW w:w="2310" w:type="dxa"/>
            <w:tcBorders>
              <w:top w:val="single" w:color="auto" w:sz="4" w:space="0"/>
              <w:left w:val="single" w:color="auto" w:sz="4" w:space="0"/>
            </w:tcBorders>
            <w:shd w:val="clear" w:color="auto" w:fill="FFFFFF"/>
            <w:noWrap w:val="0"/>
            <w:vAlign w:val="center"/>
          </w:tcPr>
          <w:p w14:paraId="25C508CF">
            <w:pPr>
              <w:pStyle w:val="26"/>
              <w:spacing w:line="315" w:lineRule="exact"/>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水生植物养护</w:t>
            </w:r>
            <w:r>
              <w:rPr>
                <w:rFonts w:hint="eastAsia" w:ascii="宋体" w:hAnsi="宋体" w:eastAsia="宋体" w:cs="宋体"/>
                <w:sz w:val="24"/>
                <w:szCs w:val="24"/>
                <w:highlight w:val="none"/>
                <w:lang w:val="en-US" w:eastAsia="zh-CN"/>
              </w:rPr>
              <w:t>质量二级</w:t>
            </w:r>
          </w:p>
        </w:tc>
        <w:tc>
          <w:tcPr>
            <w:tcW w:w="2565" w:type="dxa"/>
            <w:tcBorders>
              <w:top w:val="single" w:color="auto" w:sz="4" w:space="0"/>
              <w:left w:val="single" w:color="auto" w:sz="4" w:space="0"/>
              <w:right w:val="single" w:color="auto" w:sz="4" w:space="0"/>
            </w:tcBorders>
            <w:shd w:val="clear" w:color="auto" w:fill="FFFFFF"/>
            <w:noWrap w:val="0"/>
            <w:vAlign w:val="center"/>
          </w:tcPr>
          <w:p w14:paraId="61A97B4F">
            <w:pPr>
              <w:pStyle w:val="26"/>
              <w:spacing w:after="60" w:line="240" w:lineRule="auto"/>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水生植物养护</w:t>
            </w:r>
            <w:r>
              <w:rPr>
                <w:rFonts w:hint="eastAsia" w:ascii="宋体" w:hAnsi="宋体" w:eastAsia="宋体" w:cs="宋体"/>
                <w:sz w:val="24"/>
                <w:szCs w:val="24"/>
                <w:highlight w:val="none"/>
                <w:lang w:val="en-US" w:eastAsia="zh-CN"/>
              </w:rPr>
              <w:t>质量三级</w:t>
            </w:r>
          </w:p>
          <w:p w14:paraId="7B90A3E8">
            <w:pPr>
              <w:pStyle w:val="26"/>
              <w:spacing w:line="240" w:lineRule="auto"/>
              <w:ind w:firstLine="18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en-US"/>
              </w:rPr>
              <w:t>.</w:t>
            </w:r>
            <w:r>
              <w:rPr>
                <w:rFonts w:hint="eastAsia" w:ascii="宋体" w:hAnsi="宋体" w:eastAsia="宋体" w:cs="宋体"/>
                <w:sz w:val="24"/>
                <w:szCs w:val="24"/>
                <w:highlight w:val="none"/>
              </w:rPr>
              <w:t>我</w:t>
            </w:r>
          </w:p>
        </w:tc>
      </w:tr>
      <w:tr w14:paraId="3EE3A5EE">
        <w:tblPrEx>
          <w:tblCellMar>
            <w:top w:w="0" w:type="dxa"/>
            <w:left w:w="10" w:type="dxa"/>
            <w:bottom w:w="0" w:type="dxa"/>
            <w:right w:w="10" w:type="dxa"/>
          </w:tblCellMar>
        </w:tblPrEx>
        <w:trPr>
          <w:trHeight w:val="685" w:hRule="exact"/>
        </w:trPr>
        <w:tc>
          <w:tcPr>
            <w:tcW w:w="666" w:type="dxa"/>
            <w:tcBorders>
              <w:top w:val="single" w:color="auto" w:sz="4" w:space="0"/>
              <w:left w:val="single" w:color="auto" w:sz="4" w:space="0"/>
            </w:tcBorders>
            <w:shd w:val="clear" w:color="auto" w:fill="FFFFFF"/>
            <w:noWrap w:val="0"/>
            <w:vAlign w:val="center"/>
          </w:tcPr>
          <w:p w14:paraId="5FDFB8CE">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840" w:type="dxa"/>
            <w:tcBorders>
              <w:top w:val="single" w:color="auto" w:sz="4" w:space="0"/>
              <w:left w:val="single" w:color="auto" w:sz="4" w:space="0"/>
            </w:tcBorders>
            <w:shd w:val="clear" w:color="auto" w:fill="FFFFFF"/>
            <w:noWrap w:val="0"/>
            <w:vAlign w:val="center"/>
          </w:tcPr>
          <w:p w14:paraId="14A602E2">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竹类</w:t>
            </w:r>
          </w:p>
        </w:tc>
        <w:tc>
          <w:tcPr>
            <w:tcW w:w="2295" w:type="dxa"/>
            <w:tcBorders>
              <w:top w:val="single" w:color="auto" w:sz="4" w:space="0"/>
              <w:left w:val="single" w:color="auto" w:sz="4" w:space="0"/>
            </w:tcBorders>
            <w:shd w:val="clear" w:color="auto" w:fill="FFFFFF"/>
            <w:noWrap w:val="0"/>
            <w:vAlign w:val="center"/>
          </w:tcPr>
          <w:p w14:paraId="013A46B1">
            <w:pPr>
              <w:pStyle w:val="26"/>
              <w:spacing w:line="240" w:lineRule="auto"/>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竹类养护质量</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级</w:t>
            </w:r>
          </w:p>
        </w:tc>
        <w:tc>
          <w:tcPr>
            <w:tcW w:w="2310" w:type="dxa"/>
            <w:tcBorders>
              <w:top w:val="single" w:color="auto" w:sz="4" w:space="0"/>
              <w:left w:val="single" w:color="auto" w:sz="4" w:space="0"/>
            </w:tcBorders>
            <w:shd w:val="clear" w:color="auto" w:fill="FFFFFF"/>
            <w:noWrap w:val="0"/>
            <w:vAlign w:val="center"/>
          </w:tcPr>
          <w:p w14:paraId="6EA6992E">
            <w:pPr>
              <w:pStyle w:val="26"/>
              <w:spacing w:line="240" w:lineRule="auto"/>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竹类养护质量二级</w:t>
            </w:r>
          </w:p>
        </w:tc>
        <w:tc>
          <w:tcPr>
            <w:tcW w:w="2565" w:type="dxa"/>
            <w:tcBorders>
              <w:top w:val="single" w:color="auto" w:sz="4" w:space="0"/>
              <w:left w:val="single" w:color="auto" w:sz="4" w:space="0"/>
              <w:right w:val="single" w:color="auto" w:sz="4" w:space="0"/>
            </w:tcBorders>
            <w:shd w:val="clear" w:color="auto" w:fill="FFFFFF"/>
            <w:noWrap w:val="0"/>
            <w:vAlign w:val="center"/>
          </w:tcPr>
          <w:p w14:paraId="705117CB">
            <w:pPr>
              <w:pStyle w:val="26"/>
              <w:spacing w:line="240" w:lineRule="auto"/>
              <w:ind w:firstLine="28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竹类养护质量</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级</w:t>
            </w:r>
          </w:p>
        </w:tc>
      </w:tr>
      <w:tr w14:paraId="10F0D652">
        <w:tblPrEx>
          <w:tblCellMar>
            <w:top w:w="0" w:type="dxa"/>
            <w:left w:w="10" w:type="dxa"/>
            <w:bottom w:w="0" w:type="dxa"/>
            <w:right w:w="10" w:type="dxa"/>
          </w:tblCellMar>
        </w:tblPrEx>
        <w:trPr>
          <w:trHeight w:val="1265" w:hRule="exact"/>
        </w:trPr>
        <w:tc>
          <w:tcPr>
            <w:tcW w:w="666" w:type="dxa"/>
            <w:tcBorders>
              <w:top w:val="single" w:color="auto" w:sz="4" w:space="0"/>
              <w:left w:val="single" w:color="auto" w:sz="4" w:space="0"/>
            </w:tcBorders>
            <w:shd w:val="clear" w:color="auto" w:fill="FFFFFF"/>
            <w:noWrap w:val="0"/>
            <w:vAlign w:val="center"/>
          </w:tcPr>
          <w:p w14:paraId="01E04CAF">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840" w:type="dxa"/>
            <w:tcBorders>
              <w:top w:val="single" w:color="auto" w:sz="4" w:space="0"/>
              <w:left w:val="single" w:color="auto" w:sz="4" w:space="0"/>
            </w:tcBorders>
            <w:shd w:val="clear" w:color="auto" w:fill="FFFFFF"/>
            <w:noWrap w:val="0"/>
            <w:vAlign w:val="center"/>
          </w:tcPr>
          <w:p w14:paraId="2CCD8F3C">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淸理保洁</w:t>
            </w:r>
          </w:p>
        </w:tc>
        <w:tc>
          <w:tcPr>
            <w:tcW w:w="2295" w:type="dxa"/>
            <w:tcBorders>
              <w:top w:val="single" w:color="auto" w:sz="4" w:space="0"/>
              <w:left w:val="single" w:color="auto" w:sz="4" w:space="0"/>
            </w:tcBorders>
            <w:shd w:val="clear" w:color="auto" w:fill="FFFFFF"/>
            <w:noWrap w:val="0"/>
            <w:vAlign w:val="center"/>
          </w:tcPr>
          <w:p w14:paraId="51DAB404">
            <w:pPr>
              <w:pStyle w:val="26"/>
              <w:spacing w:line="307" w:lineRule="exact"/>
              <w:ind w:firstLine="26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绿地整体环境干净、整洁，垃圾及杂物随产随清</w:t>
            </w:r>
          </w:p>
        </w:tc>
        <w:tc>
          <w:tcPr>
            <w:tcW w:w="2310" w:type="dxa"/>
            <w:tcBorders>
              <w:top w:val="single" w:color="auto" w:sz="4" w:space="0"/>
              <w:left w:val="single" w:color="auto" w:sz="4" w:space="0"/>
            </w:tcBorders>
            <w:shd w:val="clear" w:color="auto" w:fill="FFFFFF"/>
            <w:noWrap w:val="0"/>
            <w:vAlign w:val="center"/>
          </w:tcPr>
          <w:p w14:paraId="0AD4E36A">
            <w:pPr>
              <w:pStyle w:val="26"/>
              <w:spacing w:line="315" w:lineRule="exact"/>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绿地整体环境干净、整洁，垃圾及杂物日产日清</w:t>
            </w:r>
          </w:p>
        </w:tc>
        <w:tc>
          <w:tcPr>
            <w:tcW w:w="2565" w:type="dxa"/>
            <w:tcBorders>
              <w:top w:val="single" w:color="auto" w:sz="4" w:space="0"/>
              <w:left w:val="single" w:color="auto" w:sz="4" w:space="0"/>
              <w:right w:val="single" w:color="auto" w:sz="4" w:space="0"/>
            </w:tcBorders>
            <w:shd w:val="clear" w:color="auto" w:fill="FFFFFF"/>
            <w:noWrap w:val="0"/>
            <w:vAlign w:val="center"/>
          </w:tcPr>
          <w:p w14:paraId="06D80E37">
            <w:pPr>
              <w:pStyle w:val="26"/>
              <w:spacing w:line="307" w:lineRule="exact"/>
              <w:ind w:firstLine="28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绿地整体环境干净、整洁，垃圾及杂物日产日清</w:t>
            </w:r>
          </w:p>
        </w:tc>
      </w:tr>
      <w:tr w14:paraId="578F7838">
        <w:tblPrEx>
          <w:tblCellMar>
            <w:top w:w="0" w:type="dxa"/>
            <w:left w:w="10" w:type="dxa"/>
            <w:bottom w:w="0" w:type="dxa"/>
            <w:right w:w="10" w:type="dxa"/>
          </w:tblCellMar>
        </w:tblPrEx>
        <w:trPr>
          <w:trHeight w:val="750" w:hRule="exact"/>
        </w:trPr>
        <w:tc>
          <w:tcPr>
            <w:tcW w:w="666" w:type="dxa"/>
            <w:tcBorders>
              <w:top w:val="single" w:color="auto" w:sz="4" w:space="0"/>
              <w:left w:val="single" w:color="auto" w:sz="4" w:space="0"/>
            </w:tcBorders>
            <w:shd w:val="clear" w:color="auto" w:fill="FFFFFF"/>
            <w:noWrap w:val="0"/>
            <w:vAlign w:val="center"/>
          </w:tcPr>
          <w:p w14:paraId="073E04BA">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840" w:type="dxa"/>
            <w:tcBorders>
              <w:top w:val="single" w:color="auto" w:sz="4" w:space="0"/>
              <w:left w:val="single" w:color="auto" w:sz="4" w:space="0"/>
            </w:tcBorders>
            <w:shd w:val="clear" w:color="auto" w:fill="FFFFFF"/>
            <w:noWrap w:val="0"/>
            <w:vAlign w:val="center"/>
          </w:tcPr>
          <w:p w14:paraId="097545BE">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附属设施</w:t>
            </w:r>
          </w:p>
        </w:tc>
        <w:tc>
          <w:tcPr>
            <w:tcW w:w="2295" w:type="dxa"/>
            <w:tcBorders>
              <w:top w:val="single" w:color="auto" w:sz="4" w:space="0"/>
              <w:left w:val="single" w:color="auto" w:sz="4" w:space="0"/>
            </w:tcBorders>
            <w:shd w:val="clear" w:color="auto" w:fill="FFFFFF"/>
            <w:noWrap w:val="0"/>
            <w:vAlign w:val="center"/>
          </w:tcPr>
          <w:p w14:paraId="5391F83C">
            <w:pPr>
              <w:pStyle w:val="26"/>
              <w:spacing w:line="300" w:lineRule="exact"/>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安全、完整、维护及时</w:t>
            </w:r>
          </w:p>
        </w:tc>
        <w:tc>
          <w:tcPr>
            <w:tcW w:w="2310" w:type="dxa"/>
            <w:tcBorders>
              <w:top w:val="single" w:color="auto" w:sz="4" w:space="0"/>
              <w:left w:val="single" w:color="auto" w:sz="4" w:space="0"/>
            </w:tcBorders>
            <w:shd w:val="clear" w:color="auto" w:fill="FFFFFF"/>
            <w:noWrap w:val="0"/>
            <w:vAlign w:val="center"/>
          </w:tcPr>
          <w:p w14:paraId="1D2CC21C">
            <w:pPr>
              <w:pStyle w:val="26"/>
              <w:spacing w:line="300" w:lineRule="exact"/>
              <w:ind w:firstLine="26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安全、完整、维护</w:t>
            </w:r>
            <w:r>
              <w:rPr>
                <w:rFonts w:hint="eastAsia" w:ascii="宋体" w:hAnsi="宋体" w:eastAsia="宋体" w:cs="宋体"/>
                <w:sz w:val="24"/>
                <w:szCs w:val="24"/>
                <w:highlight w:val="none"/>
                <w:lang w:val="en-US" w:eastAsia="zh-CN"/>
              </w:rPr>
              <w:t>基本及时</w:t>
            </w:r>
          </w:p>
        </w:tc>
        <w:tc>
          <w:tcPr>
            <w:tcW w:w="2565" w:type="dxa"/>
            <w:tcBorders>
              <w:top w:val="single" w:color="auto" w:sz="4" w:space="0"/>
              <w:left w:val="single" w:color="auto" w:sz="4" w:space="0"/>
              <w:right w:val="single" w:color="auto" w:sz="4" w:space="0"/>
            </w:tcBorders>
            <w:shd w:val="clear" w:color="auto" w:fill="FFFFFF"/>
            <w:noWrap w:val="0"/>
            <w:vAlign w:val="center"/>
          </w:tcPr>
          <w:p w14:paraId="16E54368">
            <w:pPr>
              <w:pStyle w:val="26"/>
              <w:spacing w:line="300" w:lineRule="exact"/>
              <w:ind w:firstLine="28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安全、基本完整、 能逬行维护</w:t>
            </w:r>
          </w:p>
        </w:tc>
      </w:tr>
      <w:tr w14:paraId="0BCD1316">
        <w:tblPrEx>
          <w:tblCellMar>
            <w:top w:w="0" w:type="dxa"/>
            <w:left w:w="10" w:type="dxa"/>
            <w:bottom w:w="0" w:type="dxa"/>
            <w:right w:w="10" w:type="dxa"/>
          </w:tblCellMar>
        </w:tblPrEx>
        <w:trPr>
          <w:trHeight w:val="1140" w:hRule="exact"/>
        </w:trPr>
        <w:tc>
          <w:tcPr>
            <w:tcW w:w="666" w:type="dxa"/>
            <w:tcBorders>
              <w:top w:val="single" w:color="auto" w:sz="4" w:space="0"/>
              <w:left w:val="single" w:color="auto" w:sz="4" w:space="0"/>
              <w:bottom w:val="single" w:color="auto" w:sz="4" w:space="0"/>
            </w:tcBorders>
            <w:shd w:val="clear" w:color="auto" w:fill="FFFFFF"/>
            <w:noWrap w:val="0"/>
            <w:vAlign w:val="center"/>
          </w:tcPr>
          <w:p w14:paraId="17250F07">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840" w:type="dxa"/>
            <w:tcBorders>
              <w:top w:val="single" w:color="auto" w:sz="4" w:space="0"/>
              <w:left w:val="single" w:color="auto" w:sz="4" w:space="0"/>
              <w:bottom w:val="single" w:color="auto" w:sz="4" w:space="0"/>
            </w:tcBorders>
            <w:shd w:val="clear" w:color="auto" w:fill="FFFFFF"/>
            <w:noWrap w:val="0"/>
            <w:vAlign w:val="center"/>
          </w:tcPr>
          <w:p w14:paraId="19362667">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景观水体</w:t>
            </w:r>
          </w:p>
        </w:tc>
        <w:tc>
          <w:tcPr>
            <w:tcW w:w="2295" w:type="dxa"/>
            <w:tcBorders>
              <w:top w:val="single" w:color="auto" w:sz="4" w:space="0"/>
              <w:left w:val="single" w:color="auto" w:sz="4" w:space="0"/>
              <w:bottom w:val="single" w:color="auto" w:sz="4" w:space="0"/>
            </w:tcBorders>
            <w:shd w:val="clear" w:color="auto" w:fill="FFFFFF"/>
            <w:noWrap w:val="0"/>
            <w:vAlign w:val="center"/>
          </w:tcPr>
          <w:p w14:paraId="006C6F39">
            <w:pPr>
              <w:pStyle w:val="26"/>
              <w:spacing w:line="300" w:lineRule="exact"/>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安全、清洁、驳岸 完好</w:t>
            </w:r>
          </w:p>
        </w:tc>
        <w:tc>
          <w:tcPr>
            <w:tcW w:w="2310" w:type="dxa"/>
            <w:tcBorders>
              <w:top w:val="single" w:color="auto" w:sz="4" w:space="0"/>
              <w:left w:val="single" w:color="auto" w:sz="4" w:space="0"/>
              <w:bottom w:val="single" w:color="auto" w:sz="4" w:space="0"/>
            </w:tcBorders>
            <w:shd w:val="clear" w:color="auto" w:fill="FFFFFF"/>
            <w:noWrap w:val="0"/>
            <w:vAlign w:val="center"/>
          </w:tcPr>
          <w:p w14:paraId="4F76E27E">
            <w:pPr>
              <w:pStyle w:val="26"/>
              <w:spacing w:line="315" w:lineRule="exact"/>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安全、水面基本无 杂物、驳岸基本完整</w:t>
            </w:r>
          </w:p>
        </w:tc>
        <w:tc>
          <w:tcPr>
            <w:tcW w:w="25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EE9DE8">
            <w:pPr>
              <w:pStyle w:val="26"/>
              <w:spacing w:line="315" w:lineRule="exact"/>
              <w:ind w:firstLine="28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安全、水而无明显 杂物、驳岸无明显缺损</w:t>
            </w:r>
          </w:p>
        </w:tc>
      </w:tr>
      <w:tr w14:paraId="11778855">
        <w:tblPrEx>
          <w:tblCellMar>
            <w:top w:w="0" w:type="dxa"/>
            <w:left w:w="10" w:type="dxa"/>
            <w:bottom w:w="0" w:type="dxa"/>
            <w:right w:w="10" w:type="dxa"/>
          </w:tblCellMar>
        </w:tblPrEx>
        <w:trPr>
          <w:trHeight w:val="1255" w:hRule="exact"/>
        </w:trPr>
        <w:tc>
          <w:tcPr>
            <w:tcW w:w="666" w:type="dxa"/>
            <w:tcBorders>
              <w:top w:val="single" w:color="auto" w:sz="4" w:space="0"/>
              <w:left w:val="single" w:color="auto" w:sz="4" w:space="0"/>
              <w:bottom w:val="single" w:color="auto" w:sz="4" w:space="0"/>
            </w:tcBorders>
            <w:shd w:val="clear" w:color="auto" w:fill="FFFFFF"/>
            <w:noWrap w:val="0"/>
            <w:vAlign w:val="center"/>
          </w:tcPr>
          <w:p w14:paraId="610CF530">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840" w:type="dxa"/>
            <w:tcBorders>
              <w:top w:val="single" w:color="auto" w:sz="4" w:space="0"/>
              <w:left w:val="single" w:color="auto" w:sz="4" w:space="0"/>
              <w:bottom w:val="single" w:color="auto" w:sz="4" w:space="0"/>
            </w:tcBorders>
            <w:shd w:val="clear" w:color="auto" w:fill="FFFFFF"/>
            <w:noWrap w:val="0"/>
            <w:vAlign w:val="center"/>
          </w:tcPr>
          <w:p w14:paraId="6FC3D593">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技术档案</w:t>
            </w:r>
          </w:p>
        </w:tc>
        <w:tc>
          <w:tcPr>
            <w:tcW w:w="2295" w:type="dxa"/>
            <w:tcBorders>
              <w:top w:val="single" w:color="auto" w:sz="4" w:space="0"/>
              <w:left w:val="single" w:color="auto" w:sz="4" w:space="0"/>
              <w:bottom w:val="single" w:color="auto" w:sz="4" w:space="0"/>
            </w:tcBorders>
            <w:shd w:val="clear" w:color="auto" w:fill="FFFFFF"/>
            <w:noWrap w:val="0"/>
            <w:vAlign w:val="center"/>
          </w:tcPr>
          <w:p w14:paraId="76F2C41B">
            <w:pPr>
              <w:pStyle w:val="26"/>
              <w:spacing w:line="307" w:lineRule="exact"/>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档</w:t>
            </w:r>
            <w:r>
              <w:rPr>
                <w:rFonts w:hint="eastAsia" w:ascii="宋体" w:hAnsi="宋体" w:eastAsia="宋体" w:cs="宋体"/>
                <w:sz w:val="24"/>
                <w:szCs w:val="24"/>
                <w:highlight w:val="none"/>
              </w:rPr>
              <w:t>案内容</w:t>
            </w:r>
            <w:r>
              <w:rPr>
                <w:rFonts w:hint="eastAsia" w:ascii="宋体" w:hAnsi="宋体" w:eastAsia="宋体" w:cs="宋体"/>
                <w:sz w:val="24"/>
                <w:szCs w:val="24"/>
                <w:highlight w:val="none"/>
                <w:lang w:val="zh-CN" w:eastAsia="zh-CN" w:bidi="zh-CN"/>
              </w:rPr>
              <w:t>完整，</w:t>
            </w:r>
            <w:r>
              <w:rPr>
                <w:rFonts w:hint="eastAsia" w:ascii="宋体" w:hAnsi="宋体" w:eastAsia="宋体" w:cs="宋体"/>
                <w:sz w:val="24"/>
                <w:szCs w:val="24"/>
                <w:highlight w:val="none"/>
              </w:rPr>
              <w:t>信息化管理体系已建成</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纳入数字化管理</w:t>
            </w:r>
          </w:p>
        </w:tc>
        <w:tc>
          <w:tcPr>
            <w:tcW w:w="2310" w:type="dxa"/>
            <w:tcBorders>
              <w:top w:val="single" w:color="auto" w:sz="4" w:space="0"/>
              <w:left w:val="single" w:color="auto" w:sz="4" w:space="0"/>
              <w:bottom w:val="single" w:color="auto" w:sz="4" w:space="0"/>
            </w:tcBorders>
            <w:shd w:val="clear" w:color="auto" w:fill="FFFFFF"/>
            <w:noWrap w:val="0"/>
            <w:vAlign w:val="center"/>
          </w:tcPr>
          <w:p w14:paraId="7B5AFB9A">
            <w:pPr>
              <w:pStyle w:val="26"/>
              <w:spacing w:line="307" w:lineRule="exact"/>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档案内容基本完整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并已建成信息化管理体系</w:t>
            </w:r>
          </w:p>
        </w:tc>
        <w:tc>
          <w:tcPr>
            <w:tcW w:w="25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F4182F">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档</w:t>
            </w:r>
            <w:r>
              <w:rPr>
                <w:rFonts w:hint="eastAsia" w:ascii="宋体" w:hAnsi="宋体" w:eastAsia="宋体" w:cs="宋体"/>
                <w:sz w:val="24"/>
                <w:szCs w:val="24"/>
                <w:highlight w:val="none"/>
              </w:rPr>
              <w:t>案内容基本完整</w:t>
            </w:r>
          </w:p>
        </w:tc>
      </w:tr>
      <w:tr w14:paraId="183B5C3D">
        <w:tblPrEx>
          <w:tblCellMar>
            <w:top w:w="0" w:type="dxa"/>
            <w:left w:w="10" w:type="dxa"/>
            <w:bottom w:w="0" w:type="dxa"/>
            <w:right w:w="10" w:type="dxa"/>
          </w:tblCellMar>
        </w:tblPrEx>
        <w:trPr>
          <w:trHeight w:val="1140" w:hRule="exact"/>
        </w:trPr>
        <w:tc>
          <w:tcPr>
            <w:tcW w:w="666" w:type="dxa"/>
            <w:tcBorders>
              <w:top w:val="single" w:color="auto" w:sz="4" w:space="0"/>
              <w:left w:val="single" w:color="auto" w:sz="4" w:space="0"/>
              <w:bottom w:val="single" w:color="auto" w:sz="4" w:space="0"/>
            </w:tcBorders>
            <w:shd w:val="clear" w:color="auto" w:fill="FFFFFF"/>
            <w:noWrap w:val="0"/>
            <w:vAlign w:val="center"/>
          </w:tcPr>
          <w:p w14:paraId="598AEEDA">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840" w:type="dxa"/>
            <w:tcBorders>
              <w:top w:val="single" w:color="auto" w:sz="4" w:space="0"/>
              <w:left w:val="single" w:color="auto" w:sz="4" w:space="0"/>
              <w:bottom w:val="single" w:color="auto" w:sz="4" w:space="0"/>
            </w:tcBorders>
            <w:shd w:val="clear" w:color="auto" w:fill="FFFFFF"/>
            <w:noWrap w:val="0"/>
            <w:vAlign w:val="center"/>
          </w:tcPr>
          <w:p w14:paraId="2703780A">
            <w:pPr>
              <w:pStyle w:val="26"/>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w:t>
            </w:r>
            <w:r>
              <w:rPr>
                <w:rFonts w:hint="eastAsia" w:ascii="宋体" w:hAnsi="宋体" w:eastAsia="宋体" w:cs="宋体"/>
                <w:sz w:val="24"/>
                <w:szCs w:val="24"/>
                <w:highlight w:val="none"/>
                <w:lang w:val="en-US" w:eastAsia="zh-CN"/>
              </w:rPr>
              <w:t>全</w:t>
            </w:r>
            <w:r>
              <w:rPr>
                <w:rFonts w:hint="eastAsia" w:ascii="宋体" w:hAnsi="宋体" w:eastAsia="宋体" w:cs="宋体"/>
                <w:sz w:val="24"/>
                <w:szCs w:val="24"/>
                <w:highlight w:val="none"/>
              </w:rPr>
              <w:t>保护</w:t>
            </w:r>
          </w:p>
        </w:tc>
        <w:tc>
          <w:tcPr>
            <w:tcW w:w="2295" w:type="dxa"/>
            <w:tcBorders>
              <w:top w:val="single" w:color="auto" w:sz="4" w:space="0"/>
              <w:left w:val="single" w:color="auto" w:sz="4" w:space="0"/>
              <w:bottom w:val="single" w:color="auto" w:sz="4" w:space="0"/>
            </w:tcBorders>
            <w:shd w:val="clear" w:color="auto" w:fill="FFFFFF"/>
            <w:noWrap w:val="0"/>
            <w:vAlign w:val="center"/>
          </w:tcPr>
          <w:p w14:paraId="472B4403">
            <w:pPr>
              <w:pStyle w:val="26"/>
              <w:spacing w:after="60"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有专业保安队伍，24h看护，重大节日活动有预案</w:t>
            </w:r>
          </w:p>
        </w:tc>
        <w:tc>
          <w:tcPr>
            <w:tcW w:w="2310" w:type="dxa"/>
            <w:tcBorders>
              <w:top w:val="single" w:color="auto" w:sz="4" w:space="0"/>
              <w:left w:val="single" w:color="auto" w:sz="4" w:space="0"/>
              <w:bottom w:val="single" w:color="auto" w:sz="4" w:space="0"/>
            </w:tcBorders>
            <w:shd w:val="clear" w:color="auto" w:fill="FFFFFF"/>
            <w:noWrap w:val="0"/>
            <w:vAlign w:val="center"/>
          </w:tcPr>
          <w:p w14:paraId="08C51E35">
            <w:pPr>
              <w:pStyle w:val="26"/>
              <w:spacing w:line="315" w:lineRule="exact"/>
              <w:ind w:firstLine="26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有</w:t>
            </w:r>
            <w:r>
              <w:rPr>
                <w:rFonts w:hint="eastAsia" w:ascii="宋体" w:hAnsi="宋体" w:eastAsia="宋体" w:cs="宋体"/>
                <w:sz w:val="24"/>
                <w:szCs w:val="24"/>
                <w:highlight w:val="none"/>
                <w:lang w:val="en-US" w:eastAsia="zh-CN"/>
              </w:rPr>
              <w:t>专业</w:t>
            </w:r>
            <w:r>
              <w:rPr>
                <w:rFonts w:hint="eastAsia" w:ascii="宋体" w:hAnsi="宋体" w:eastAsia="宋体" w:cs="宋体"/>
                <w:sz w:val="24"/>
                <w:szCs w:val="24"/>
                <w:highlight w:val="none"/>
              </w:rPr>
              <w:t>保安队伍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日间</w:t>
            </w:r>
            <w:r>
              <w:rPr>
                <w:rFonts w:hint="eastAsia" w:ascii="宋体" w:hAnsi="宋体" w:eastAsia="宋体" w:cs="宋体"/>
                <w:sz w:val="24"/>
                <w:szCs w:val="24"/>
                <w:highlight w:val="none"/>
                <w:lang w:val="en-US" w:eastAsia="zh-CN"/>
              </w:rPr>
              <w:t>看</w:t>
            </w:r>
            <w:r>
              <w:rPr>
                <w:rFonts w:hint="eastAsia" w:ascii="宋体" w:hAnsi="宋体" w:eastAsia="宋体" w:cs="宋体"/>
                <w:sz w:val="24"/>
                <w:szCs w:val="24"/>
                <w:highlight w:val="none"/>
              </w:rPr>
              <w:t>护</w:t>
            </w:r>
          </w:p>
        </w:tc>
        <w:tc>
          <w:tcPr>
            <w:tcW w:w="25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D4FBB1">
            <w:pPr>
              <w:pStyle w:val="26"/>
              <w:spacing w:line="240" w:lineRule="auto"/>
              <w:ind w:firstLine="26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有专人负</w:t>
            </w:r>
            <w:r>
              <w:rPr>
                <w:rFonts w:hint="eastAsia" w:ascii="宋体" w:hAnsi="宋体" w:eastAsia="宋体" w:cs="宋体"/>
                <w:sz w:val="24"/>
                <w:szCs w:val="24"/>
                <w:highlight w:val="none"/>
                <w:lang w:val="en-US" w:eastAsia="zh-CN"/>
              </w:rPr>
              <w:t>责</w:t>
            </w:r>
            <w:r>
              <w:rPr>
                <w:rFonts w:hint="eastAsia" w:ascii="宋体" w:hAnsi="宋体" w:eastAsia="宋体" w:cs="宋体"/>
                <w:sz w:val="24"/>
                <w:szCs w:val="24"/>
                <w:highlight w:val="none"/>
              </w:rPr>
              <w:t>看护</w:t>
            </w:r>
          </w:p>
        </w:tc>
      </w:tr>
    </w:tbl>
    <w:p w14:paraId="250915EF">
      <w:pPr>
        <w:spacing w:after="239" w:line="1" w:lineRule="exact"/>
        <w:rPr>
          <w:rFonts w:hint="eastAsia" w:ascii="宋体" w:hAnsi="宋体" w:eastAsia="宋体" w:cs="宋体"/>
          <w:sz w:val="24"/>
          <w:szCs w:val="24"/>
          <w:highlight w:val="none"/>
        </w:rPr>
      </w:pPr>
    </w:p>
    <w:p w14:paraId="642CD165">
      <w:pPr>
        <w:pStyle w:val="24"/>
        <w:spacing w:after="160" w:line="390" w:lineRule="exact"/>
        <w:rPr>
          <w:rFonts w:hint="eastAsia" w:ascii="宋体" w:hAnsi="宋体" w:eastAsia="宋体" w:cs="宋体"/>
          <w:b/>
          <w:bCs/>
          <w:sz w:val="24"/>
          <w:szCs w:val="24"/>
          <w:highlight w:val="none"/>
          <w:lang w:val="en-US" w:eastAsia="zh-CN" w:bidi="en-US"/>
        </w:rPr>
      </w:pPr>
    </w:p>
    <w:p w14:paraId="2044BBE2">
      <w:pPr>
        <w:pStyle w:val="24"/>
        <w:spacing w:after="160" w:line="39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bidi="en-US"/>
        </w:rPr>
        <w:t>1</w:t>
      </w:r>
      <w:r>
        <w:rPr>
          <w:rFonts w:hint="eastAsia" w:ascii="宋体" w:hAnsi="宋体" w:eastAsia="宋体" w:cs="宋体"/>
          <w:b/>
          <w:bCs/>
          <w:sz w:val="24"/>
          <w:szCs w:val="24"/>
          <w:highlight w:val="none"/>
          <w:lang w:val="en-US" w:eastAsia="en-US" w:bidi="en-US"/>
        </w:rPr>
        <w:t>.2</w:t>
      </w:r>
      <w:r>
        <w:rPr>
          <w:rFonts w:hint="eastAsia" w:ascii="宋体" w:hAnsi="宋体" w:eastAsia="宋体" w:cs="宋体"/>
          <w:b/>
          <w:bCs/>
          <w:sz w:val="24"/>
          <w:szCs w:val="24"/>
          <w:highlight w:val="none"/>
        </w:rPr>
        <w:t>植物养护质量要求</w:t>
      </w:r>
    </w:p>
    <w:p w14:paraId="05B1189E">
      <w:pPr>
        <w:pStyle w:val="24"/>
        <w:spacing w:after="60" w:line="390" w:lineRule="exact"/>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bidi="en-US"/>
        </w:rPr>
        <w:t>1.2.1</w:t>
      </w:r>
      <w:r>
        <w:rPr>
          <w:rFonts w:hint="eastAsia" w:ascii="宋体" w:hAnsi="宋体" w:eastAsia="宋体" w:cs="宋体"/>
          <w:sz w:val="24"/>
          <w:szCs w:val="24"/>
          <w:highlight w:val="none"/>
        </w:rPr>
        <w:t>植物养护质量应包括树木、花卉、草坪、地被植物、水 生植物、竹类养护质</w:t>
      </w:r>
      <w:r>
        <w:rPr>
          <w:rFonts w:hint="eastAsia" w:ascii="宋体" w:hAnsi="宋体" w:eastAsia="宋体" w:cs="宋体"/>
          <w:sz w:val="24"/>
          <w:szCs w:val="24"/>
          <w:highlight w:val="none"/>
          <w:lang w:val="en-US" w:eastAsia="zh-CN"/>
        </w:rPr>
        <w:t>量</w:t>
      </w:r>
      <w:r>
        <w:rPr>
          <w:rFonts w:hint="eastAsia" w:ascii="宋体" w:hAnsi="宋体" w:eastAsia="宋体" w:cs="宋体"/>
          <w:sz w:val="24"/>
          <w:szCs w:val="24"/>
          <w:highlight w:val="none"/>
        </w:rPr>
        <w:t>。</w:t>
      </w:r>
    </w:p>
    <w:p w14:paraId="4CA79EAD">
      <w:pPr>
        <w:pStyle w:val="24"/>
        <w:spacing w:line="240" w:lineRule="auto"/>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bidi="en-US"/>
        </w:rPr>
        <w:t>1.2.2</w:t>
      </w:r>
      <w:r>
        <w:rPr>
          <w:rFonts w:hint="eastAsia" w:ascii="宋体" w:hAnsi="宋体" w:eastAsia="宋体" w:cs="宋体"/>
          <w:sz w:val="24"/>
          <w:szCs w:val="24"/>
          <w:highlight w:val="none"/>
        </w:rPr>
        <w:t>树木养护质虽等级应符合本标准附录</w:t>
      </w:r>
      <w:r>
        <w:rPr>
          <w:rFonts w:hint="eastAsia" w:ascii="宋体" w:hAnsi="宋体" w:eastAsia="宋体" w:cs="宋体"/>
          <w:sz w:val="24"/>
          <w:szCs w:val="24"/>
          <w:highlight w:val="none"/>
          <w:lang w:val="en-US" w:eastAsia="zh-CN" w:bidi="en-US"/>
        </w:rPr>
        <w:t>A</w:t>
      </w:r>
      <w:r>
        <w:rPr>
          <w:rFonts w:hint="eastAsia" w:ascii="宋体" w:hAnsi="宋体" w:eastAsia="宋体" w:cs="宋体"/>
          <w:sz w:val="24"/>
          <w:szCs w:val="24"/>
          <w:highlight w:val="none"/>
        </w:rPr>
        <w:t>的规定。</w:t>
      </w:r>
    </w:p>
    <w:p w14:paraId="3DA4E357">
      <w:pPr>
        <w:pStyle w:val="24"/>
        <w:spacing w:line="390" w:lineRule="exact"/>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bidi="en-US"/>
        </w:rPr>
        <w:t>1.2.3</w:t>
      </w:r>
      <w:r>
        <w:rPr>
          <w:rFonts w:hint="eastAsia" w:ascii="宋体" w:hAnsi="宋体" w:eastAsia="宋体" w:cs="宋体"/>
          <w:sz w:val="24"/>
          <w:szCs w:val="24"/>
          <w:highlight w:val="none"/>
        </w:rPr>
        <w:t>花卉养护质量等级应符合本标准附录</w:t>
      </w:r>
      <w:r>
        <w:rPr>
          <w:rFonts w:hint="eastAsia" w:ascii="宋体" w:hAnsi="宋体" w:eastAsia="宋体" w:cs="宋体"/>
          <w:sz w:val="24"/>
          <w:szCs w:val="24"/>
          <w:highlight w:val="none"/>
          <w:lang w:val="en-US" w:eastAsia="zh-CN" w:bidi="en-US"/>
        </w:rPr>
        <w:t>B</w:t>
      </w:r>
      <w:r>
        <w:rPr>
          <w:rFonts w:hint="eastAsia" w:ascii="宋体" w:hAnsi="宋体" w:eastAsia="宋体" w:cs="宋体"/>
          <w:sz w:val="24"/>
          <w:szCs w:val="24"/>
          <w:highlight w:val="none"/>
        </w:rPr>
        <w:t>的规定。</w:t>
      </w:r>
    </w:p>
    <w:p w14:paraId="3327A1EE">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1.2.4</w:t>
      </w:r>
      <w:r>
        <w:rPr>
          <w:rFonts w:hint="eastAsia" w:ascii="宋体" w:hAnsi="宋体" w:eastAsia="宋体" w:cs="宋体"/>
          <w:sz w:val="24"/>
          <w:szCs w:val="24"/>
          <w:highlight w:val="none"/>
          <w:lang w:val="en-US" w:eastAsia="zh-CN" w:bidi="en-US"/>
        </w:rPr>
        <w:t>草坪养护质量等级应符合本标准附录C的规定。</w:t>
      </w:r>
    </w:p>
    <w:p w14:paraId="47151773">
      <w:pPr>
        <w:pStyle w:val="24"/>
        <w:spacing w:after="60" w:line="390" w:lineRule="exact"/>
        <w:jc w:val="left"/>
        <w:rPr>
          <w:rFonts w:hint="eastAsia" w:ascii="宋体" w:hAnsi="宋体" w:eastAsia="宋体" w:cs="宋体"/>
          <w:sz w:val="24"/>
          <w:szCs w:val="24"/>
          <w:highlight w:val="none"/>
          <w:lang w:val="en-US" w:eastAsia="zh-CN" w:bidi="en-US"/>
        </w:rPr>
      </w:pPr>
      <w:bookmarkStart w:id="629" w:name="bookmark3"/>
      <w:bookmarkEnd w:id="629"/>
      <w:r>
        <w:rPr>
          <w:rFonts w:hint="eastAsia" w:ascii="宋体" w:hAnsi="宋体" w:eastAsia="宋体" w:cs="宋体"/>
          <w:b/>
          <w:bCs/>
          <w:sz w:val="24"/>
          <w:szCs w:val="24"/>
          <w:highlight w:val="none"/>
          <w:lang w:val="en-US" w:eastAsia="zh-CN" w:bidi="en-US"/>
        </w:rPr>
        <w:t>1.2.5</w:t>
      </w:r>
      <w:r>
        <w:rPr>
          <w:rFonts w:hint="eastAsia" w:ascii="宋体" w:hAnsi="宋体" w:eastAsia="宋体" w:cs="宋体"/>
          <w:sz w:val="24"/>
          <w:szCs w:val="24"/>
          <w:highlight w:val="none"/>
          <w:lang w:val="en-US" w:eastAsia="zh-CN" w:bidi="en-US"/>
        </w:rPr>
        <w:t>地被植物养护质量等级应符合本标准附录D的规定。</w:t>
      </w:r>
    </w:p>
    <w:p w14:paraId="0BBFC0E0">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1.2.6</w:t>
      </w:r>
      <w:r>
        <w:rPr>
          <w:rFonts w:hint="eastAsia" w:ascii="宋体" w:hAnsi="宋体" w:eastAsia="宋体" w:cs="宋体"/>
          <w:sz w:val="24"/>
          <w:szCs w:val="24"/>
          <w:highlight w:val="none"/>
          <w:lang w:val="en-US" w:eastAsia="zh-CN" w:bidi="en-US"/>
        </w:rPr>
        <w:t>水生植物养护质量等级应符合本标准附录E的规定。</w:t>
      </w:r>
    </w:p>
    <w:p w14:paraId="6BFAC8E2">
      <w:pPr>
        <w:pStyle w:val="24"/>
        <w:spacing w:after="60" w:line="390" w:lineRule="exact"/>
        <w:jc w:val="left"/>
        <w:rPr>
          <w:rFonts w:hint="eastAsia" w:ascii="宋体" w:hAnsi="宋体" w:eastAsia="宋体" w:cs="宋体"/>
          <w:sz w:val="24"/>
          <w:szCs w:val="24"/>
          <w:highlight w:val="none"/>
          <w:lang w:val="en-US" w:eastAsia="zh-CN" w:bidi="en-US"/>
        </w:rPr>
      </w:pPr>
      <w:bookmarkStart w:id="630" w:name="bookmark4"/>
      <w:bookmarkEnd w:id="630"/>
      <w:r>
        <w:rPr>
          <w:rFonts w:hint="eastAsia" w:ascii="宋体" w:hAnsi="宋体" w:eastAsia="宋体" w:cs="宋体"/>
          <w:b/>
          <w:bCs/>
          <w:sz w:val="24"/>
          <w:szCs w:val="24"/>
          <w:highlight w:val="none"/>
          <w:lang w:val="en-US" w:eastAsia="zh-CN" w:bidi="en-US"/>
        </w:rPr>
        <w:t>1.2.7</w:t>
      </w:r>
      <w:r>
        <w:rPr>
          <w:rFonts w:hint="eastAsia" w:ascii="宋体" w:hAnsi="宋体" w:eastAsia="宋体" w:cs="宋体"/>
          <w:sz w:val="24"/>
          <w:szCs w:val="24"/>
          <w:highlight w:val="none"/>
          <w:lang w:val="en-US" w:eastAsia="zh-CN" w:bidi="en-US"/>
        </w:rPr>
        <w:t>竹类养护质量等级应符合本标准附荥F的规定。</w:t>
      </w:r>
      <w:bookmarkStart w:id="631" w:name="bookmark6"/>
      <w:bookmarkStart w:id="632" w:name="bookmark7"/>
      <w:bookmarkStart w:id="633" w:name="bookmark5"/>
    </w:p>
    <w:p w14:paraId="05D4DD74">
      <w:pPr>
        <w:pStyle w:val="24"/>
        <w:spacing w:after="60" w:line="390" w:lineRule="exact"/>
        <w:jc w:val="center"/>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2绿地管理</w:t>
      </w:r>
      <w:bookmarkEnd w:id="631"/>
      <w:bookmarkEnd w:id="632"/>
      <w:bookmarkEnd w:id="633"/>
    </w:p>
    <w:p w14:paraId="4EB4E3CE">
      <w:pPr>
        <w:pStyle w:val="24"/>
        <w:spacing w:after="60" w:line="390" w:lineRule="exact"/>
        <w:ind w:firstLine="2409" w:firstLineChars="10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2.1植物种植调整</w:t>
      </w:r>
    </w:p>
    <w:p w14:paraId="364AD773">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2.1.1</w:t>
      </w:r>
      <w:r>
        <w:rPr>
          <w:rFonts w:hint="eastAsia" w:ascii="宋体" w:hAnsi="宋体" w:eastAsia="宋体" w:cs="宋体"/>
          <w:sz w:val="24"/>
          <w:szCs w:val="24"/>
          <w:highlight w:val="none"/>
          <w:lang w:val="en-US" w:eastAsia="zh-CN" w:bidi="en-US"/>
        </w:rPr>
        <w:t>绿地内植物栽植超过一定年限,存在植物长势衰弱、植株过密、种植结构不合理、与设计效果严重不符等情况，应进行调整。</w:t>
      </w:r>
    </w:p>
    <w:p w14:paraId="73E7A7F4">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2.1.2</w:t>
      </w:r>
      <w:r>
        <w:rPr>
          <w:rFonts w:hint="eastAsia" w:ascii="宋体" w:hAnsi="宋体" w:eastAsia="宋体" w:cs="宋体"/>
          <w:sz w:val="24"/>
          <w:szCs w:val="24"/>
          <w:highlight w:val="none"/>
          <w:lang w:val="en-US" w:eastAsia="zh-CN" w:bidi="en-US"/>
        </w:rPr>
        <w:t>调整方案应充分考虑立地</w:t>
      </w:r>
      <w:r>
        <w:rPr>
          <w:rFonts w:hint="eastAsia" w:ascii="宋体" w:hAnsi="宋体" w:eastAsia="宋体" w:cs="宋体"/>
          <w:sz w:val="24"/>
          <w:szCs w:val="24"/>
          <w:highlight w:val="none"/>
          <w:lang w:val="zh-CN" w:eastAsia="zh-CN" w:bidi="en-US"/>
        </w:rPr>
        <w:t>条件.</w:t>
      </w:r>
      <w:r>
        <w:rPr>
          <w:rFonts w:hint="eastAsia" w:ascii="宋体" w:hAnsi="宋体" w:eastAsia="宋体" w:cs="宋体"/>
          <w:sz w:val="24"/>
          <w:szCs w:val="24"/>
          <w:highlight w:val="none"/>
          <w:lang w:val="en-US" w:eastAsia="zh-CN" w:bidi="en-US"/>
        </w:rPr>
        <w:t>根据绿地的不同特点和</w:t>
      </w:r>
      <w:r>
        <w:rPr>
          <w:rFonts w:hint="eastAsia" w:ascii="宋体" w:hAnsi="宋体" w:eastAsia="宋体" w:cs="宋体"/>
          <w:sz w:val="24"/>
          <w:szCs w:val="24"/>
          <w:highlight w:val="none"/>
          <w:lang w:val="zh-CN" w:eastAsia="zh-CN" w:bidi="en-US"/>
        </w:rPr>
        <w:t>功能.</w:t>
      </w:r>
      <w:r>
        <w:rPr>
          <w:rFonts w:hint="eastAsia" w:ascii="宋体" w:hAnsi="宋体" w:eastAsia="宋体" w:cs="宋体"/>
          <w:sz w:val="24"/>
          <w:szCs w:val="24"/>
          <w:highlight w:val="none"/>
          <w:lang w:val="en-US" w:eastAsia="zh-CN" w:bidi="en-US"/>
        </w:rPr>
        <w:t>选择以乡土植物为核心的多样性植物</w:t>
      </w:r>
      <w:r>
        <w:rPr>
          <w:rFonts w:hint="eastAsia" w:ascii="宋体" w:hAnsi="宋体" w:eastAsia="宋体" w:cs="宋体"/>
          <w:sz w:val="24"/>
          <w:szCs w:val="24"/>
          <w:highlight w:val="none"/>
          <w:lang w:val="zh-CN" w:eastAsia="zh-CN" w:bidi="en-US"/>
        </w:rPr>
        <w:t>种类.</w:t>
      </w:r>
      <w:r>
        <w:rPr>
          <w:rFonts w:hint="eastAsia" w:ascii="宋体" w:hAnsi="宋体" w:eastAsia="宋体" w:cs="宋体"/>
          <w:sz w:val="24"/>
          <w:szCs w:val="24"/>
          <w:highlight w:val="none"/>
          <w:lang w:val="en-US" w:eastAsia="zh-CN" w:bidi="en-US"/>
        </w:rPr>
        <w:t>遵从生态位原</w:t>
      </w:r>
      <w:r>
        <w:rPr>
          <w:rFonts w:hint="eastAsia" w:ascii="宋体" w:hAnsi="宋体" w:eastAsia="宋体" w:cs="宋体"/>
          <w:sz w:val="24"/>
          <w:szCs w:val="24"/>
          <w:highlight w:val="none"/>
          <w:lang w:val="zh-CN" w:eastAsia="zh-CN" w:bidi="en-US"/>
        </w:rPr>
        <w:t>则.</w:t>
      </w:r>
      <w:r>
        <w:rPr>
          <w:rFonts w:hint="eastAsia" w:ascii="宋体" w:hAnsi="宋体" w:eastAsia="宋体" w:cs="宋体"/>
          <w:sz w:val="24"/>
          <w:szCs w:val="24"/>
          <w:highlight w:val="none"/>
          <w:lang w:val="en-US" w:eastAsia="zh-CN" w:bidi="en-US"/>
        </w:rPr>
        <w:t>营造适宜的植物群落。</w:t>
      </w:r>
    </w:p>
    <w:p w14:paraId="0E2B843A">
      <w:pPr>
        <w:pStyle w:val="24"/>
        <w:spacing w:after="60" w:line="390" w:lineRule="exact"/>
        <w:ind w:firstLine="2409" w:firstLineChars="1000"/>
        <w:jc w:val="left"/>
        <w:rPr>
          <w:rFonts w:hint="eastAsia" w:ascii="宋体" w:hAnsi="宋体" w:eastAsia="宋体" w:cs="宋体"/>
          <w:b/>
          <w:bCs/>
          <w:sz w:val="24"/>
          <w:szCs w:val="24"/>
          <w:highlight w:val="none"/>
          <w:lang w:val="en-US" w:eastAsia="zh-CN" w:bidi="en-US"/>
        </w:rPr>
      </w:pPr>
      <w:r>
        <w:rPr>
          <w:rFonts w:hint="eastAsia" w:ascii="宋体" w:hAnsi="宋体" w:eastAsia="宋体" w:cs="宋体"/>
          <w:b/>
          <w:bCs/>
          <w:sz w:val="24"/>
          <w:szCs w:val="24"/>
          <w:highlight w:val="none"/>
          <w:lang w:val="en-US" w:eastAsia="zh-CN" w:bidi="en-US"/>
        </w:rPr>
        <w:t>2.2绿地清理与保洁</w:t>
      </w:r>
    </w:p>
    <w:p w14:paraId="1C2C958A">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2.2.1</w:t>
      </w:r>
      <w:r>
        <w:rPr>
          <w:rFonts w:hint="eastAsia" w:ascii="宋体" w:hAnsi="宋体" w:eastAsia="宋体" w:cs="宋体"/>
          <w:sz w:val="24"/>
          <w:szCs w:val="24"/>
          <w:highlight w:val="none"/>
          <w:lang w:val="en-US" w:eastAsia="zh-CN" w:bidi="en-US"/>
        </w:rPr>
        <w:t>绿地应保持</w:t>
      </w:r>
      <w:r>
        <w:rPr>
          <w:rFonts w:hint="eastAsia" w:ascii="宋体" w:hAnsi="宋体" w:eastAsia="宋体" w:cs="宋体"/>
          <w:sz w:val="24"/>
          <w:szCs w:val="24"/>
          <w:highlight w:val="none"/>
          <w:lang w:val="zh-CN" w:eastAsia="zh-CN" w:bidi="en-US"/>
        </w:rPr>
        <w:t>清洁.</w:t>
      </w:r>
      <w:r>
        <w:rPr>
          <w:rFonts w:hint="eastAsia" w:ascii="宋体" w:hAnsi="宋体" w:eastAsia="宋体" w:cs="宋体"/>
          <w:sz w:val="24"/>
          <w:szCs w:val="24"/>
          <w:highlight w:val="none"/>
          <w:lang w:val="en-US" w:eastAsia="zh-CN" w:bidi="en-US"/>
        </w:rPr>
        <w:t>并整理清除影响景观的杂物、干枯枝叶、树挂、乱涂乱画、乱拴乱挂、乱停乱放、乱搭乱建等。</w:t>
      </w:r>
    </w:p>
    <w:p w14:paraId="665F33B9">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2.2.2</w:t>
      </w:r>
      <w:r>
        <w:rPr>
          <w:rFonts w:hint="eastAsia" w:ascii="宋体" w:hAnsi="宋体" w:eastAsia="宋体" w:cs="宋体"/>
          <w:sz w:val="24"/>
          <w:szCs w:val="24"/>
          <w:highlight w:val="none"/>
          <w:lang w:val="en-US" w:eastAsia="zh-CN" w:bidi="en-US"/>
        </w:rPr>
        <w:t>收集的垃圾杂物和枯枝落叶应及时</w:t>
      </w:r>
      <w:r>
        <w:rPr>
          <w:rFonts w:hint="eastAsia" w:ascii="宋体" w:hAnsi="宋体" w:eastAsia="宋体" w:cs="宋体"/>
          <w:sz w:val="24"/>
          <w:szCs w:val="24"/>
          <w:highlight w:val="none"/>
          <w:lang w:val="zh-CN" w:eastAsia="zh-CN" w:bidi="en-US"/>
        </w:rPr>
        <w:t>清运.</w:t>
      </w:r>
      <w:r>
        <w:rPr>
          <w:rFonts w:hint="eastAsia" w:ascii="宋体" w:hAnsi="宋体" w:eastAsia="宋体" w:cs="宋体"/>
          <w:sz w:val="24"/>
          <w:szCs w:val="24"/>
          <w:highlight w:val="none"/>
          <w:lang w:val="en-US" w:eastAsia="zh-CN" w:bidi="en-US"/>
        </w:rPr>
        <w:t>不得随意焚烧</w:t>
      </w:r>
      <w:r>
        <w:rPr>
          <w:rFonts w:hint="eastAsia" w:ascii="宋体" w:hAnsi="宋体" w:eastAsia="宋体" w:cs="宋体"/>
          <w:sz w:val="24"/>
          <w:szCs w:val="24"/>
          <w:highlight w:val="none"/>
          <w:lang w:val="zh-CN" w:eastAsia="zh-CN" w:bidi="en-US"/>
        </w:rPr>
        <w:t>。</w:t>
      </w:r>
    </w:p>
    <w:p w14:paraId="63907DB2">
      <w:pPr>
        <w:pStyle w:val="24"/>
        <w:spacing w:after="60" w:line="390" w:lineRule="exact"/>
        <w:jc w:val="left"/>
        <w:rPr>
          <w:rFonts w:hint="eastAsia" w:ascii="宋体" w:hAnsi="宋体" w:eastAsia="宋体" w:cs="宋体"/>
          <w:sz w:val="24"/>
          <w:szCs w:val="24"/>
          <w:highlight w:val="none"/>
          <w:lang w:val="en-US" w:eastAsia="zh-CN" w:bidi="en-US"/>
        </w:rPr>
      </w:pPr>
      <w:bookmarkStart w:id="634" w:name="bookmark8"/>
      <w:bookmarkEnd w:id="634"/>
      <w:r>
        <w:rPr>
          <w:rFonts w:hint="eastAsia" w:ascii="宋体" w:hAnsi="宋体" w:eastAsia="宋体" w:cs="宋体"/>
          <w:b/>
          <w:bCs/>
          <w:sz w:val="24"/>
          <w:szCs w:val="24"/>
          <w:highlight w:val="none"/>
          <w:lang w:val="en-US" w:eastAsia="zh-CN" w:bidi="en-US"/>
        </w:rPr>
        <w:t>2.2.3</w:t>
      </w:r>
      <w:r>
        <w:rPr>
          <w:rFonts w:hint="eastAsia" w:ascii="宋体" w:hAnsi="宋体" w:eastAsia="宋体" w:cs="宋体"/>
          <w:sz w:val="24"/>
          <w:szCs w:val="24"/>
          <w:highlight w:val="none"/>
          <w:lang w:val="en-US" w:eastAsia="zh-CN" w:bidi="en-US"/>
        </w:rPr>
        <w:t>各种与绿地无关的张贴物或设施应及时</w:t>
      </w:r>
      <w:r>
        <w:rPr>
          <w:rFonts w:hint="eastAsia" w:ascii="宋体" w:hAnsi="宋体" w:eastAsia="宋体" w:cs="宋体"/>
          <w:sz w:val="24"/>
          <w:szCs w:val="24"/>
          <w:highlight w:val="none"/>
          <w:lang w:val="zh-CN" w:eastAsia="zh-CN" w:bidi="en-US"/>
        </w:rPr>
        <w:t>清除。</w:t>
      </w:r>
    </w:p>
    <w:p w14:paraId="3E115CB9">
      <w:pPr>
        <w:pStyle w:val="24"/>
        <w:spacing w:after="60" w:line="390" w:lineRule="exact"/>
        <w:ind w:firstLine="2409" w:firstLineChars="10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2.3附属设施管理</w:t>
      </w:r>
    </w:p>
    <w:p w14:paraId="140BB448">
      <w:pPr>
        <w:pStyle w:val="24"/>
        <w:spacing w:after="60" w:line="390" w:lineRule="exact"/>
        <w:jc w:val="left"/>
        <w:rPr>
          <w:rFonts w:hint="eastAsia" w:ascii="宋体" w:hAnsi="宋体" w:eastAsia="宋体" w:cs="宋体"/>
          <w:sz w:val="24"/>
          <w:szCs w:val="24"/>
          <w:highlight w:val="none"/>
          <w:lang w:val="en-US" w:eastAsia="zh-CN" w:bidi="en-US"/>
        </w:rPr>
      </w:pPr>
      <w:bookmarkStart w:id="635" w:name="bookmark9"/>
      <w:bookmarkEnd w:id="635"/>
      <w:r>
        <w:rPr>
          <w:rFonts w:hint="eastAsia" w:ascii="宋体" w:hAnsi="宋体" w:eastAsia="宋体" w:cs="宋体"/>
          <w:b/>
          <w:bCs/>
          <w:sz w:val="24"/>
          <w:szCs w:val="24"/>
          <w:highlight w:val="none"/>
          <w:lang w:val="en-US" w:eastAsia="zh-CN" w:bidi="en-US"/>
        </w:rPr>
        <w:t>2.3.1</w:t>
      </w:r>
      <w:r>
        <w:rPr>
          <w:rFonts w:hint="eastAsia" w:ascii="宋体" w:hAnsi="宋体" w:eastAsia="宋体" w:cs="宋体"/>
          <w:sz w:val="24"/>
          <w:szCs w:val="24"/>
          <w:highlight w:val="none"/>
          <w:lang w:val="en-US" w:eastAsia="zh-CN" w:bidi="en-US"/>
        </w:rPr>
        <w:t>对于园林绿地中的建筑及构筑物的管理应符合下列规定：</w:t>
      </w:r>
    </w:p>
    <w:p w14:paraId="6579BAF3">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1</w:t>
      </w:r>
      <w:r>
        <w:rPr>
          <w:rFonts w:hint="eastAsia" w:ascii="宋体" w:hAnsi="宋体" w:eastAsia="宋体" w:cs="宋体"/>
          <w:sz w:val="24"/>
          <w:szCs w:val="24"/>
          <w:highlight w:val="none"/>
          <w:lang w:val="en-US" w:eastAsia="zh-CN" w:bidi="en-US"/>
        </w:rPr>
        <w:t>应保持外观整洁，构件和各项设施完好无损。</w:t>
      </w:r>
    </w:p>
    <w:p w14:paraId="08127388">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w:t>
      </w:r>
      <w:r>
        <w:rPr>
          <w:rFonts w:hint="eastAsia" w:ascii="宋体" w:hAnsi="宋体" w:eastAsia="宋体" w:cs="宋体"/>
          <w:sz w:val="24"/>
          <w:szCs w:val="24"/>
          <w:highlight w:val="none"/>
          <w:lang w:val="en-US" w:eastAsia="zh-CN" w:bidi="en-US"/>
        </w:rPr>
        <w:t>室内陈设应</w:t>
      </w:r>
      <w:r>
        <w:rPr>
          <w:rFonts w:hint="eastAsia" w:ascii="宋体" w:hAnsi="宋体" w:eastAsia="宋体" w:cs="宋体"/>
          <w:sz w:val="24"/>
          <w:szCs w:val="24"/>
          <w:highlight w:val="none"/>
          <w:lang w:val="zh-CN" w:eastAsia="zh-CN" w:bidi="en-US"/>
        </w:rPr>
        <w:t>合理.</w:t>
      </w:r>
      <w:r>
        <w:rPr>
          <w:rFonts w:hint="eastAsia" w:ascii="宋体" w:hAnsi="宋体" w:eastAsia="宋体" w:cs="宋体"/>
          <w:sz w:val="24"/>
          <w:szCs w:val="24"/>
          <w:highlight w:val="none"/>
          <w:lang w:val="en-US" w:eastAsia="zh-CN" w:bidi="en-US"/>
        </w:rPr>
        <w:t>并保持清洁、完好。</w:t>
      </w:r>
    </w:p>
    <w:p w14:paraId="77978E89">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3</w:t>
      </w:r>
      <w:r>
        <w:rPr>
          <w:rFonts w:hint="eastAsia" w:ascii="宋体" w:hAnsi="宋体" w:eastAsia="宋体" w:cs="宋体"/>
          <w:sz w:val="24"/>
          <w:szCs w:val="24"/>
          <w:highlight w:val="none"/>
          <w:lang w:val="en-US" w:eastAsia="zh-CN" w:bidi="en-US"/>
        </w:rPr>
        <w:t>应保持厕所地面</w:t>
      </w:r>
      <w:r>
        <w:rPr>
          <w:rFonts w:hint="eastAsia" w:ascii="宋体" w:hAnsi="宋体" w:eastAsia="宋体" w:cs="宋体"/>
          <w:sz w:val="24"/>
          <w:szCs w:val="24"/>
          <w:highlight w:val="none"/>
          <w:lang w:val="zh-CN" w:eastAsia="zh-CN" w:bidi="en-US"/>
        </w:rPr>
        <w:t>干燥，</w:t>
      </w:r>
      <w:r>
        <w:rPr>
          <w:rFonts w:hint="eastAsia" w:ascii="宋体" w:hAnsi="宋体" w:eastAsia="宋体" w:cs="宋体"/>
          <w:sz w:val="24"/>
          <w:szCs w:val="24"/>
          <w:highlight w:val="none"/>
          <w:lang w:val="en-US" w:eastAsia="zh-CN" w:bidi="en-US"/>
        </w:rPr>
        <w:t>定期消毒，其环境卫生要求应符合现行国家标准《城市公共厕所卫生标准》GB/T 17217的有关规定。</w:t>
      </w:r>
    </w:p>
    <w:p w14:paraId="35387242">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4</w:t>
      </w:r>
      <w:r>
        <w:rPr>
          <w:rFonts w:hint="eastAsia" w:ascii="宋体" w:hAnsi="宋体" w:eastAsia="宋体" w:cs="宋体"/>
          <w:sz w:val="24"/>
          <w:szCs w:val="24"/>
          <w:highlight w:val="none"/>
          <w:lang w:val="en-US" w:eastAsia="zh-CN" w:bidi="en-US"/>
        </w:rPr>
        <w:t>应消除结构、装修和设施的安全隐患。</w:t>
      </w:r>
    </w:p>
    <w:p w14:paraId="746A61FB">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2.3.2</w:t>
      </w:r>
      <w:r>
        <w:rPr>
          <w:rFonts w:hint="eastAsia" w:ascii="宋体" w:hAnsi="宋体" w:eastAsia="宋体" w:cs="宋体"/>
          <w:sz w:val="24"/>
          <w:szCs w:val="24"/>
          <w:highlight w:val="none"/>
          <w:lang w:val="en-US" w:eastAsia="zh-CN" w:bidi="en-US"/>
        </w:rPr>
        <w:t>道路和铺装广场的管理应符合下列规定：</w:t>
      </w:r>
    </w:p>
    <w:p w14:paraId="21677A65">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1</w:t>
      </w:r>
      <w:r>
        <w:rPr>
          <w:rFonts w:hint="eastAsia" w:ascii="宋体" w:hAnsi="宋体" w:eastAsia="宋体" w:cs="宋体"/>
          <w:sz w:val="24"/>
          <w:szCs w:val="24"/>
          <w:highlight w:val="none"/>
          <w:lang w:val="en-US" w:eastAsia="zh-CN" w:bidi="en-US"/>
        </w:rPr>
        <w:t>铺装面、侧石、台阶、斜坡等应保持平整无凹</w:t>
      </w:r>
      <w:r>
        <w:rPr>
          <w:rFonts w:hint="eastAsia" w:ascii="宋体" w:hAnsi="宋体" w:eastAsia="宋体" w:cs="宋体"/>
          <w:sz w:val="24"/>
          <w:szCs w:val="24"/>
          <w:highlight w:val="none"/>
          <w:lang w:val="zh-CN" w:eastAsia="zh-CN" w:bidi="en-US"/>
        </w:rPr>
        <w:t>凸.</w:t>
      </w:r>
      <w:r>
        <w:rPr>
          <w:rFonts w:hint="eastAsia" w:ascii="宋体" w:hAnsi="宋体" w:eastAsia="宋体" w:cs="宋体"/>
          <w:sz w:val="24"/>
          <w:szCs w:val="24"/>
          <w:highlight w:val="none"/>
          <w:lang w:val="en-US" w:eastAsia="zh-CN" w:bidi="en-US"/>
        </w:rPr>
        <w:t>无积水。</w:t>
      </w:r>
    </w:p>
    <w:p w14:paraId="2018CC7B">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zh-CN" w:eastAsia="zh-CN" w:bidi="en-US"/>
        </w:rPr>
        <w:t>2</w:t>
      </w:r>
      <w:r>
        <w:rPr>
          <w:rFonts w:hint="eastAsia" w:ascii="宋体" w:hAnsi="宋体" w:eastAsia="宋体" w:cs="宋体"/>
          <w:sz w:val="24"/>
          <w:szCs w:val="24"/>
          <w:highlight w:val="none"/>
          <w:lang w:val="en-US" w:eastAsia="zh-CN" w:bidi="en-US"/>
        </w:rPr>
        <w:t>应保持铺装面清洁、</w:t>
      </w:r>
      <w:r>
        <w:rPr>
          <w:rFonts w:hint="eastAsia" w:ascii="宋体" w:hAnsi="宋体" w:eastAsia="宋体" w:cs="宋体"/>
          <w:sz w:val="24"/>
          <w:szCs w:val="24"/>
          <w:highlight w:val="none"/>
          <w:lang w:val="zh-CN" w:eastAsia="zh-CN" w:bidi="en-US"/>
        </w:rPr>
        <w:t>防滑，</w:t>
      </w:r>
      <w:r>
        <w:rPr>
          <w:rFonts w:hint="eastAsia" w:ascii="宋体" w:hAnsi="宋体" w:eastAsia="宋体" w:cs="宋体"/>
          <w:sz w:val="24"/>
          <w:szCs w:val="24"/>
          <w:highlight w:val="none"/>
          <w:lang w:val="en-US" w:eastAsia="zh-CN" w:bidi="en-US"/>
        </w:rPr>
        <w:t>无障碍设施完好。</w:t>
      </w:r>
    </w:p>
    <w:p w14:paraId="1E74CA7E">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3</w:t>
      </w:r>
      <w:r>
        <w:rPr>
          <w:rFonts w:hint="eastAsia" w:ascii="宋体" w:hAnsi="宋体" w:eastAsia="宋体" w:cs="宋体"/>
          <w:sz w:val="24"/>
          <w:szCs w:val="24"/>
          <w:highlight w:val="none"/>
          <w:lang w:val="en-US" w:eastAsia="zh-CN" w:bidi="en-US"/>
        </w:rPr>
        <w:t>损坏部分应消除安全隐患，及时修补。</w:t>
      </w:r>
    </w:p>
    <w:p w14:paraId="1E2E4107">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2.3.3</w:t>
      </w:r>
      <w:r>
        <w:rPr>
          <w:rFonts w:hint="eastAsia" w:ascii="宋体" w:hAnsi="宋体" w:eastAsia="宋体" w:cs="宋体"/>
          <w:sz w:val="24"/>
          <w:szCs w:val="24"/>
          <w:highlight w:val="none"/>
          <w:lang w:val="en-US" w:eastAsia="zh-CN" w:bidi="en-US"/>
        </w:rPr>
        <w:t>假山、叠石的管理应符合下列规定：</w:t>
      </w:r>
    </w:p>
    <w:p w14:paraId="41A327F8">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1</w:t>
      </w:r>
      <w:r>
        <w:rPr>
          <w:rFonts w:hint="eastAsia" w:ascii="宋体" w:hAnsi="宋体" w:eastAsia="宋体" w:cs="宋体"/>
          <w:sz w:val="24"/>
          <w:szCs w:val="24"/>
          <w:highlight w:val="none"/>
          <w:lang w:val="en-US" w:eastAsia="zh-CN" w:bidi="en-US"/>
        </w:rPr>
        <w:t>假山、登石应保证完整、稳固、安全。不适于攀爬的叠石应配备醒目提示标识和防护设备。假山结构和主峰稳定性应符合抗风、抗震要求。</w:t>
      </w:r>
    </w:p>
    <w:p w14:paraId="58EF7201">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w:t>
      </w:r>
      <w:r>
        <w:rPr>
          <w:rFonts w:hint="eastAsia" w:ascii="宋体" w:hAnsi="宋体" w:eastAsia="宋体" w:cs="宋体"/>
          <w:sz w:val="24"/>
          <w:szCs w:val="24"/>
          <w:highlight w:val="none"/>
          <w:lang w:val="en-US" w:eastAsia="zh-CN" w:bidi="en-US"/>
        </w:rPr>
        <w:t>假山四周及石缝不得有影响安全和景观的杂草、杂物。</w:t>
      </w:r>
    </w:p>
    <w:p w14:paraId="68B136F4">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3</w:t>
      </w:r>
      <w:r>
        <w:rPr>
          <w:rFonts w:hint="eastAsia" w:ascii="宋体" w:hAnsi="宋体" w:eastAsia="宋体" w:cs="宋体"/>
          <w:sz w:val="24"/>
          <w:szCs w:val="24"/>
          <w:highlight w:val="none"/>
          <w:lang w:val="en-US" w:eastAsia="zh-CN" w:bidi="en-US"/>
        </w:rPr>
        <w:t>假山、叠石的放置与园林植物的配置应协调，相辅相成保证景观效果。</w:t>
      </w:r>
    </w:p>
    <w:p w14:paraId="07B882B4">
      <w:pPr>
        <w:pStyle w:val="24"/>
        <w:spacing w:after="60" w:line="390" w:lineRule="exact"/>
        <w:jc w:val="left"/>
        <w:rPr>
          <w:rFonts w:hint="eastAsia" w:ascii="宋体" w:hAnsi="宋体" w:eastAsia="宋体" w:cs="宋体"/>
          <w:b/>
          <w:bCs/>
          <w:sz w:val="24"/>
          <w:szCs w:val="24"/>
          <w:highlight w:val="none"/>
          <w:lang w:val="en-US" w:eastAsia="zh-CN" w:bidi="en-US"/>
        </w:rPr>
      </w:pPr>
      <w:r>
        <w:rPr>
          <w:rFonts w:hint="eastAsia" w:ascii="宋体" w:hAnsi="宋体" w:eastAsia="宋体" w:cs="宋体"/>
          <w:b/>
          <w:bCs/>
          <w:sz w:val="24"/>
          <w:szCs w:val="24"/>
          <w:highlight w:val="none"/>
          <w:lang w:val="en-US" w:eastAsia="zh-CN" w:bidi="en-US"/>
        </w:rPr>
        <w:t>2.3.4</w:t>
      </w:r>
      <w:r>
        <w:rPr>
          <w:rFonts w:hint="eastAsia" w:ascii="宋体" w:hAnsi="宋体" w:eastAsia="宋体" w:cs="宋体"/>
          <w:sz w:val="24"/>
          <w:szCs w:val="24"/>
          <w:highlight w:val="none"/>
          <w:lang w:val="en-US" w:eastAsia="zh-CN" w:bidi="en-US"/>
        </w:rPr>
        <w:t>娱乐、健身设施应明确操作</w:t>
      </w:r>
      <w:r>
        <w:rPr>
          <w:rFonts w:hint="eastAsia" w:ascii="宋体" w:hAnsi="宋体" w:eastAsia="宋体" w:cs="宋体"/>
          <w:sz w:val="24"/>
          <w:szCs w:val="24"/>
          <w:highlight w:val="none"/>
          <w:lang w:val="zh-CN" w:eastAsia="zh-CN" w:bidi="en-US"/>
        </w:rPr>
        <w:t>规程，</w:t>
      </w:r>
      <w:r>
        <w:rPr>
          <w:rFonts w:hint="eastAsia" w:ascii="宋体" w:hAnsi="宋体" w:eastAsia="宋体" w:cs="宋体"/>
          <w:sz w:val="24"/>
          <w:szCs w:val="24"/>
          <w:highlight w:val="none"/>
          <w:lang w:val="en-US" w:eastAsia="zh-CN" w:bidi="en-US"/>
        </w:rPr>
        <w:t>使用与管理要求应符合现行国家标准《大型游乐设施安全规范》GB 8408的有关规定。</w:t>
      </w:r>
    </w:p>
    <w:p w14:paraId="2D42EB2E">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2.3.5</w:t>
      </w:r>
      <w:r>
        <w:rPr>
          <w:rFonts w:hint="eastAsia" w:ascii="宋体" w:hAnsi="宋体" w:eastAsia="宋体" w:cs="宋体"/>
          <w:sz w:val="24"/>
          <w:szCs w:val="24"/>
          <w:highlight w:val="none"/>
          <w:lang w:val="en-US" w:eastAsia="zh-CN" w:bidi="en-US"/>
        </w:rPr>
        <w:t>给水排水设施的管理应符合下列规定：</w:t>
      </w:r>
    </w:p>
    <w:p w14:paraId="6E66D134">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1</w:t>
      </w:r>
      <w:r>
        <w:rPr>
          <w:rFonts w:hint="eastAsia" w:ascii="宋体" w:hAnsi="宋体" w:eastAsia="宋体" w:cs="宋体"/>
          <w:sz w:val="24"/>
          <w:szCs w:val="24"/>
          <w:highlight w:val="none"/>
          <w:lang w:val="en-US" w:eastAsia="zh-CN" w:bidi="en-US"/>
        </w:rPr>
        <w:t>应保持管道</w:t>
      </w:r>
      <w:r>
        <w:rPr>
          <w:rFonts w:hint="eastAsia" w:ascii="宋体" w:hAnsi="宋体" w:eastAsia="宋体" w:cs="宋体"/>
          <w:sz w:val="24"/>
          <w:szCs w:val="24"/>
          <w:highlight w:val="none"/>
          <w:lang w:val="zh-CN" w:eastAsia="zh-CN" w:bidi="en-US"/>
        </w:rPr>
        <w:t>畅通，</w:t>
      </w:r>
      <w:r>
        <w:rPr>
          <w:rFonts w:hint="eastAsia" w:ascii="宋体" w:hAnsi="宋体" w:eastAsia="宋体" w:cs="宋体"/>
          <w:sz w:val="24"/>
          <w:szCs w:val="24"/>
          <w:highlight w:val="none"/>
          <w:lang w:val="en-US" w:eastAsia="zh-CN" w:bidi="en-US"/>
        </w:rPr>
        <w:t>无污染。</w:t>
      </w:r>
    </w:p>
    <w:p w14:paraId="31B8573F">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w:t>
      </w:r>
      <w:r>
        <w:rPr>
          <w:rFonts w:hint="eastAsia" w:ascii="宋体" w:hAnsi="宋体" w:eastAsia="宋体" w:cs="宋体"/>
          <w:sz w:val="24"/>
          <w:szCs w:val="24"/>
          <w:highlight w:val="none"/>
          <w:lang w:val="en-US" w:eastAsia="zh-CN" w:bidi="en-US"/>
        </w:rPr>
        <w:t>外露的检査井、进水口、给水口、喷灌等设施应随时保持清洁、完整</w:t>
      </w:r>
      <w:r>
        <w:rPr>
          <w:rFonts w:hint="eastAsia" w:ascii="宋体" w:hAnsi="宋体" w:eastAsia="宋体" w:cs="宋体"/>
          <w:sz w:val="24"/>
          <w:szCs w:val="24"/>
          <w:highlight w:val="none"/>
          <w:lang w:val="zh-CN" w:eastAsia="zh-CN" w:bidi="en-US"/>
        </w:rPr>
        <w:t>无损.</w:t>
      </w:r>
      <w:r>
        <w:rPr>
          <w:rFonts w:hint="eastAsia" w:ascii="宋体" w:hAnsi="宋体" w:eastAsia="宋体" w:cs="宋体"/>
          <w:sz w:val="24"/>
          <w:szCs w:val="24"/>
          <w:highlight w:val="none"/>
          <w:lang w:val="en-US" w:eastAsia="zh-CN" w:bidi="en-US"/>
        </w:rPr>
        <w:t>寒冷地区冬季应采取防冻裂保护措施。</w:t>
      </w:r>
    </w:p>
    <w:p w14:paraId="552817D1">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3</w:t>
      </w:r>
      <w:r>
        <w:rPr>
          <w:rFonts w:hint="eastAsia" w:ascii="宋体" w:hAnsi="宋体" w:eastAsia="宋体" w:cs="宋体"/>
          <w:sz w:val="24"/>
          <w:szCs w:val="24"/>
          <w:highlight w:val="none"/>
          <w:lang w:val="en-US" w:eastAsia="zh-CN" w:bidi="en-US"/>
        </w:rPr>
        <w:t>防汛、消防、防火、应急避险等设备应保持完好，</w:t>
      </w:r>
      <w:r>
        <w:rPr>
          <w:rFonts w:hint="eastAsia" w:ascii="宋体" w:hAnsi="宋体" w:eastAsia="宋体" w:cs="宋体"/>
          <w:sz w:val="24"/>
          <w:szCs w:val="24"/>
          <w:highlight w:val="none"/>
          <w:lang w:val="zh-CN" w:eastAsia="zh-CN" w:bidi="en-US"/>
        </w:rPr>
        <w:t>满足</w:t>
      </w:r>
      <w:r>
        <w:rPr>
          <w:rFonts w:hint="eastAsia" w:ascii="宋体" w:hAnsi="宋体" w:eastAsia="宋体" w:cs="宋体"/>
          <w:sz w:val="24"/>
          <w:szCs w:val="24"/>
          <w:highlight w:val="none"/>
          <w:lang w:val="en-US" w:eastAsia="zh-CN" w:bidi="en-US"/>
        </w:rPr>
        <w:t>功能要求。</w:t>
      </w:r>
    </w:p>
    <w:p w14:paraId="7D227210">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2.3.6</w:t>
      </w:r>
      <w:r>
        <w:rPr>
          <w:rFonts w:hint="eastAsia" w:ascii="宋体" w:hAnsi="宋体" w:eastAsia="宋体" w:cs="宋体"/>
          <w:sz w:val="24"/>
          <w:szCs w:val="24"/>
          <w:highlight w:val="none"/>
          <w:lang w:val="en-US" w:eastAsia="zh-CN" w:bidi="en-US"/>
        </w:rPr>
        <w:t>输配电、照明的管理应符合下列规定：</w:t>
      </w:r>
    </w:p>
    <w:p w14:paraId="254DA9C4">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1</w:t>
      </w:r>
      <w:r>
        <w:rPr>
          <w:rFonts w:hint="eastAsia" w:ascii="宋体" w:hAnsi="宋体" w:eastAsia="宋体" w:cs="宋体"/>
          <w:sz w:val="24"/>
          <w:szCs w:val="24"/>
          <w:highlight w:val="none"/>
          <w:lang w:val="en-US" w:eastAsia="zh-CN" w:bidi="en-US"/>
        </w:rPr>
        <w:t>应定期</w:t>
      </w:r>
      <w:r>
        <w:rPr>
          <w:rFonts w:hint="eastAsia" w:ascii="宋体" w:hAnsi="宋体" w:eastAsia="宋体" w:cs="宋体"/>
          <w:sz w:val="24"/>
          <w:szCs w:val="24"/>
          <w:highlight w:val="none"/>
          <w:lang w:val="zh-CN" w:eastAsia="zh-CN" w:bidi="en-US"/>
        </w:rPr>
        <w:t>检测，</w:t>
      </w:r>
      <w:r>
        <w:rPr>
          <w:rFonts w:hint="eastAsia" w:ascii="宋体" w:hAnsi="宋体" w:eastAsia="宋体" w:cs="宋体"/>
          <w:sz w:val="24"/>
          <w:szCs w:val="24"/>
          <w:highlight w:val="none"/>
          <w:lang w:val="en-US" w:eastAsia="zh-CN" w:bidi="en-US"/>
        </w:rPr>
        <w:t>并保持运转正常。</w:t>
      </w:r>
    </w:p>
    <w:p w14:paraId="7F48F780">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w:t>
      </w:r>
      <w:r>
        <w:rPr>
          <w:rFonts w:hint="eastAsia" w:ascii="宋体" w:hAnsi="宋体" w:eastAsia="宋体" w:cs="宋体"/>
          <w:sz w:val="24"/>
          <w:szCs w:val="24"/>
          <w:highlight w:val="none"/>
          <w:lang w:val="en-US" w:eastAsia="zh-CN" w:bidi="en-US"/>
        </w:rPr>
        <w:t>照明设施应保持清洁、有足够照度，无带电裸露部位。</w:t>
      </w:r>
    </w:p>
    <w:p w14:paraId="41162A65">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3</w:t>
      </w:r>
      <w:r>
        <w:rPr>
          <w:rFonts w:hint="eastAsia" w:ascii="宋体" w:hAnsi="宋体" w:eastAsia="宋体" w:cs="宋体"/>
          <w:sz w:val="24"/>
          <w:szCs w:val="24"/>
          <w:highlight w:val="none"/>
          <w:lang w:val="en-US" w:eastAsia="zh-CN" w:bidi="en-US"/>
        </w:rPr>
        <w:t>各类管线设施应保持完整、安全。</w:t>
      </w:r>
    </w:p>
    <w:p w14:paraId="7FDEAA61">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4</w:t>
      </w:r>
      <w:r>
        <w:rPr>
          <w:rFonts w:hint="eastAsia" w:ascii="宋体" w:hAnsi="宋体" w:eastAsia="宋体" w:cs="宋体"/>
          <w:sz w:val="24"/>
          <w:szCs w:val="24"/>
          <w:highlight w:val="none"/>
          <w:lang w:val="en-US" w:eastAsia="zh-CN" w:bidi="en-US"/>
        </w:rPr>
        <w:t>太阳能设施应确保完整</w:t>
      </w:r>
      <w:r>
        <w:rPr>
          <w:rFonts w:hint="eastAsia" w:ascii="宋体" w:hAnsi="宋体" w:eastAsia="宋体" w:cs="宋体"/>
          <w:sz w:val="24"/>
          <w:szCs w:val="24"/>
          <w:highlight w:val="none"/>
          <w:lang w:val="zh-CN" w:eastAsia="zh-CN" w:bidi="en-US"/>
        </w:rPr>
        <w:t>无损，</w:t>
      </w:r>
      <w:r>
        <w:rPr>
          <w:rFonts w:hint="eastAsia" w:ascii="宋体" w:hAnsi="宋体" w:eastAsia="宋体" w:cs="宋体"/>
          <w:sz w:val="24"/>
          <w:szCs w:val="24"/>
          <w:highlight w:val="none"/>
          <w:lang w:val="en-US" w:eastAsia="zh-CN" w:bidi="en-US"/>
        </w:rPr>
        <w:t>运行正常。</w:t>
      </w:r>
    </w:p>
    <w:p w14:paraId="2ECA9C85">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5</w:t>
      </w:r>
      <w:r>
        <w:rPr>
          <w:rFonts w:hint="eastAsia" w:ascii="宋体" w:hAnsi="宋体" w:eastAsia="宋体" w:cs="宋体"/>
          <w:sz w:val="24"/>
          <w:szCs w:val="24"/>
          <w:highlight w:val="none"/>
          <w:lang w:val="en-US" w:eastAsia="zh-CN" w:bidi="en-US"/>
        </w:rPr>
        <w:t>应确保安全警示标志位于明显位置。</w:t>
      </w:r>
    </w:p>
    <w:p w14:paraId="2BCFC27A">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2.3.7</w:t>
      </w:r>
      <w:r>
        <w:rPr>
          <w:rFonts w:hint="eastAsia" w:ascii="宋体" w:hAnsi="宋体" w:eastAsia="宋体" w:cs="宋体"/>
          <w:sz w:val="24"/>
          <w:szCs w:val="24"/>
          <w:highlight w:val="none"/>
          <w:lang w:val="en-US" w:eastAsia="zh-CN" w:bidi="en-US"/>
        </w:rPr>
        <w:t>园凳、园椅的管理应符合下列规定：</w:t>
      </w:r>
    </w:p>
    <w:p w14:paraId="072B147E">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1</w:t>
      </w:r>
      <w:r>
        <w:rPr>
          <w:rFonts w:hint="eastAsia" w:ascii="宋体" w:hAnsi="宋体" w:eastAsia="宋体" w:cs="宋体"/>
          <w:sz w:val="24"/>
          <w:szCs w:val="24"/>
          <w:highlight w:val="none"/>
          <w:lang w:val="en-US" w:eastAsia="zh-CN" w:bidi="en-US"/>
        </w:rPr>
        <w:t>应保持园凳、园椅的外观整洁美观，坐靠舒适、稳固，无损坏。</w:t>
      </w:r>
    </w:p>
    <w:p w14:paraId="5D59BE27">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w:t>
      </w:r>
      <w:r>
        <w:rPr>
          <w:rFonts w:hint="eastAsia" w:ascii="宋体" w:hAnsi="宋体" w:eastAsia="宋体" w:cs="宋体"/>
          <w:sz w:val="24"/>
          <w:szCs w:val="24"/>
          <w:highlight w:val="none"/>
          <w:lang w:val="en-US" w:eastAsia="zh-CN" w:bidi="en-US"/>
        </w:rPr>
        <w:t>维修、油漆未干时，应设置醒目的警示标志。</w:t>
      </w:r>
    </w:p>
    <w:p w14:paraId="0BB0987E">
      <w:pPr>
        <w:pStyle w:val="24"/>
        <w:spacing w:after="60" w:line="390" w:lineRule="exact"/>
        <w:jc w:val="left"/>
        <w:rPr>
          <w:rFonts w:hint="eastAsia" w:ascii="宋体" w:hAnsi="宋体" w:eastAsia="宋体" w:cs="宋体"/>
          <w:sz w:val="24"/>
          <w:szCs w:val="24"/>
          <w:highlight w:val="none"/>
          <w:lang w:val="en-US" w:eastAsia="zh-CN" w:bidi="en-US"/>
        </w:rPr>
        <w:sectPr>
          <w:footerReference r:id="rId10" w:type="first"/>
          <w:footerReference r:id="rId8" w:type="default"/>
          <w:footerReference r:id="rId9" w:type="even"/>
          <w:pgSz w:w="11900" w:h="16840"/>
          <w:pgMar w:top="1440" w:right="1800" w:bottom="1440" w:left="1800" w:header="0" w:footer="3" w:gutter="0"/>
          <w:pgNumType w:fmt="decimal"/>
          <w:cols w:space="720" w:num="1"/>
          <w:titlePg/>
          <w:docGrid w:linePitch="360" w:charSpace="0"/>
        </w:sectPr>
      </w:pPr>
      <w:r>
        <w:rPr>
          <w:rFonts w:hint="eastAsia" w:ascii="宋体" w:hAnsi="宋体" w:eastAsia="宋体" w:cs="宋体"/>
          <w:b/>
          <w:bCs/>
          <w:sz w:val="24"/>
          <w:szCs w:val="24"/>
          <w:highlight w:val="none"/>
          <w:lang w:val="en-US" w:eastAsia="zh-CN" w:bidi="en-US"/>
        </w:rPr>
        <w:t>2.3.8</w:t>
      </w:r>
      <w:r>
        <w:rPr>
          <w:rFonts w:hint="eastAsia" w:ascii="宋体" w:hAnsi="宋体" w:eastAsia="宋体" w:cs="宋体"/>
          <w:sz w:val="24"/>
          <w:szCs w:val="24"/>
          <w:highlight w:val="none"/>
          <w:lang w:val="en-US" w:eastAsia="zh-CN" w:bidi="en-US"/>
        </w:rPr>
        <w:t>垃圾箱外观应保持整洁完整，无污垢陈渍；箱内应无沉积垃圾、无异味、无蚊蝇滋生。</w:t>
      </w:r>
    </w:p>
    <w:p w14:paraId="02B96904">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2.3.9</w:t>
      </w:r>
      <w:r>
        <w:rPr>
          <w:rFonts w:hint="eastAsia" w:ascii="宋体" w:hAnsi="宋体" w:eastAsia="宋体" w:cs="宋体"/>
          <w:sz w:val="24"/>
          <w:szCs w:val="24"/>
          <w:highlight w:val="none"/>
          <w:lang w:val="en-US" w:eastAsia="zh-CN" w:bidi="en-US"/>
        </w:rPr>
        <w:t>标识牌应保持外观整洁，构件完整.指示清晰明显，对破损的标识牌应及时修补或更换。</w:t>
      </w:r>
    </w:p>
    <w:p w14:paraId="5198D3BF">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2.3.10</w:t>
      </w:r>
      <w:r>
        <w:rPr>
          <w:rFonts w:hint="eastAsia" w:ascii="宋体" w:hAnsi="宋体" w:eastAsia="宋体" w:cs="宋体"/>
          <w:sz w:val="24"/>
          <w:szCs w:val="24"/>
          <w:highlight w:val="none"/>
          <w:lang w:val="en-US" w:eastAsia="zh-CN" w:bidi="en-US"/>
        </w:rPr>
        <w:t>绿地防护设施（护栏）、无障碍设施、树木支撑、树穴盖板、花箱（花钵）等设施应确保外观整洁，完整无损。</w:t>
      </w:r>
    </w:p>
    <w:p w14:paraId="6C8FB601">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2.3.11</w:t>
      </w:r>
      <w:r>
        <w:rPr>
          <w:rFonts w:hint="eastAsia" w:ascii="宋体" w:hAnsi="宋体" w:eastAsia="宋体" w:cs="宋体"/>
          <w:sz w:val="24"/>
          <w:szCs w:val="24"/>
          <w:highlight w:val="none"/>
          <w:lang w:val="en-US" w:eastAsia="zh-CN" w:bidi="en-US"/>
        </w:rPr>
        <w:t>雨水收集设施应保持外观整洁</w:t>
      </w:r>
      <w:r>
        <w:rPr>
          <w:rFonts w:hint="eastAsia" w:ascii="宋体" w:hAnsi="宋体" w:eastAsia="宋体" w:cs="宋体"/>
          <w:sz w:val="24"/>
          <w:szCs w:val="24"/>
          <w:highlight w:val="none"/>
          <w:lang w:val="zh-CN" w:eastAsia="zh-CN" w:bidi="en-US"/>
        </w:rPr>
        <w:t>，设施通畅，</w:t>
      </w:r>
      <w:r>
        <w:rPr>
          <w:rFonts w:hint="eastAsia" w:ascii="宋体" w:hAnsi="宋体" w:eastAsia="宋体" w:cs="宋体"/>
          <w:sz w:val="24"/>
          <w:szCs w:val="24"/>
          <w:highlight w:val="none"/>
          <w:lang w:val="en-US" w:eastAsia="zh-CN" w:bidi="en-US"/>
        </w:rPr>
        <w:t>完整无损，运行正常。</w:t>
      </w:r>
    </w:p>
    <w:p w14:paraId="6052A359">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2.3.12</w:t>
      </w:r>
      <w:r>
        <w:rPr>
          <w:rFonts w:hint="eastAsia" w:ascii="宋体" w:hAnsi="宋体" w:eastAsia="宋体" w:cs="宋体"/>
          <w:sz w:val="24"/>
          <w:szCs w:val="24"/>
          <w:highlight w:val="none"/>
          <w:lang w:val="en-US" w:eastAsia="zh-CN" w:bidi="en-US"/>
        </w:rPr>
        <w:t>广播及监控设施应保持外观</w:t>
      </w:r>
      <w:r>
        <w:rPr>
          <w:rFonts w:hint="eastAsia" w:ascii="宋体" w:hAnsi="宋体" w:eastAsia="宋体" w:cs="宋体"/>
          <w:sz w:val="24"/>
          <w:szCs w:val="24"/>
          <w:highlight w:val="none"/>
          <w:lang w:val="zh-CN" w:eastAsia="zh-CN" w:bidi="en-US"/>
        </w:rPr>
        <w:t>整洁，</w:t>
      </w:r>
      <w:r>
        <w:rPr>
          <w:rFonts w:hint="eastAsia" w:ascii="宋体" w:hAnsi="宋体" w:eastAsia="宋体" w:cs="宋体"/>
          <w:sz w:val="24"/>
          <w:szCs w:val="24"/>
          <w:highlight w:val="none"/>
          <w:lang w:val="en-US" w:eastAsia="zh-CN" w:bidi="en-US"/>
        </w:rPr>
        <w:t>设施完整无损，运行正常。</w:t>
      </w:r>
    </w:p>
    <w:p w14:paraId="3DD3963B">
      <w:pPr>
        <w:pStyle w:val="24"/>
        <w:spacing w:after="60" w:line="390" w:lineRule="exact"/>
        <w:ind w:firstLine="2168" w:firstLineChars="900"/>
        <w:jc w:val="left"/>
        <w:rPr>
          <w:rFonts w:hint="eastAsia" w:ascii="宋体" w:hAnsi="宋体" w:eastAsia="宋体" w:cs="宋体"/>
          <w:b/>
          <w:bCs/>
          <w:sz w:val="24"/>
          <w:szCs w:val="24"/>
          <w:highlight w:val="none"/>
          <w:lang w:val="en-US" w:eastAsia="zh-CN" w:bidi="en-US"/>
        </w:rPr>
      </w:pPr>
      <w:r>
        <w:rPr>
          <w:rFonts w:hint="eastAsia" w:ascii="宋体" w:hAnsi="宋体" w:eastAsia="宋体" w:cs="宋体"/>
          <w:b/>
          <w:bCs/>
          <w:sz w:val="24"/>
          <w:szCs w:val="24"/>
          <w:highlight w:val="none"/>
          <w:lang w:val="en-US" w:eastAsia="zh-CN" w:bidi="en-US"/>
        </w:rPr>
        <w:t>2.4景观水体管理</w:t>
      </w:r>
    </w:p>
    <w:p w14:paraId="570CF74A">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2.4.1</w:t>
      </w:r>
      <w:r>
        <w:rPr>
          <w:rFonts w:hint="eastAsia" w:ascii="宋体" w:hAnsi="宋体" w:eastAsia="宋体" w:cs="宋体"/>
          <w:sz w:val="24"/>
          <w:szCs w:val="24"/>
          <w:highlight w:val="none"/>
          <w:lang w:val="en-US" w:eastAsia="zh-CN" w:bidi="en-US"/>
        </w:rPr>
        <w:t>再生水作为景观环境用</w:t>
      </w:r>
      <w:r>
        <w:rPr>
          <w:rFonts w:hint="eastAsia" w:ascii="宋体" w:hAnsi="宋体" w:eastAsia="宋体" w:cs="宋体"/>
          <w:sz w:val="24"/>
          <w:szCs w:val="24"/>
          <w:highlight w:val="none"/>
          <w:lang w:val="zh-CN" w:eastAsia="zh-CN" w:bidi="en-US"/>
        </w:rPr>
        <w:t>水时.</w:t>
      </w:r>
      <w:r>
        <w:rPr>
          <w:rFonts w:hint="eastAsia" w:ascii="宋体" w:hAnsi="宋体" w:eastAsia="宋体" w:cs="宋体"/>
          <w:sz w:val="24"/>
          <w:szCs w:val="24"/>
          <w:highlight w:val="none"/>
          <w:lang w:val="en-US" w:eastAsia="zh-CN" w:bidi="en-US"/>
        </w:rPr>
        <w:t>其水质应符合现行国家标准《城市污水再生利用景观环境用水水质》GB/T 18921的有关规定。</w:t>
      </w:r>
    </w:p>
    <w:p w14:paraId="79537C36">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2.4.2</w:t>
      </w:r>
      <w:r>
        <w:rPr>
          <w:rFonts w:hint="eastAsia" w:ascii="宋体" w:hAnsi="宋体" w:eastAsia="宋体" w:cs="宋体"/>
          <w:sz w:val="24"/>
          <w:szCs w:val="24"/>
          <w:highlight w:val="none"/>
          <w:lang w:val="en-US" w:eastAsia="zh-CN" w:bidi="en-US"/>
        </w:rPr>
        <w:t>景观水体应保持水面清洁，水位正常。</w:t>
      </w:r>
    </w:p>
    <w:p w14:paraId="538A62B8">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2.4.3</w:t>
      </w:r>
      <w:r>
        <w:rPr>
          <w:rFonts w:hint="eastAsia" w:ascii="宋体" w:hAnsi="宋体" w:eastAsia="宋体" w:cs="宋体"/>
          <w:sz w:val="24"/>
          <w:szCs w:val="24"/>
          <w:highlight w:val="none"/>
          <w:lang w:val="en-US" w:eastAsia="zh-CN" w:bidi="en-US"/>
        </w:rPr>
        <w:t>驳岸、池壁应确保安全</w:t>
      </w:r>
      <w:r>
        <w:rPr>
          <w:rFonts w:hint="eastAsia" w:ascii="宋体" w:hAnsi="宋体" w:eastAsia="宋体" w:cs="宋体"/>
          <w:sz w:val="24"/>
          <w:szCs w:val="24"/>
          <w:highlight w:val="none"/>
          <w:lang w:val="zh-CN" w:eastAsia="zh-CN" w:bidi="en-US"/>
        </w:rPr>
        <w:t>稳固，</w:t>
      </w:r>
      <w:r>
        <w:rPr>
          <w:rFonts w:hint="eastAsia" w:ascii="宋体" w:hAnsi="宋体" w:eastAsia="宋体" w:cs="宋体"/>
          <w:sz w:val="24"/>
          <w:szCs w:val="24"/>
          <w:highlight w:val="none"/>
          <w:lang w:val="en-US" w:eastAsia="zh-CN" w:bidi="en-US"/>
        </w:rPr>
        <w:t>无缺损，整洁美观.</w:t>
      </w:r>
    </w:p>
    <w:p w14:paraId="3E6B45AA">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2.4.4</w:t>
      </w:r>
      <w:r>
        <w:rPr>
          <w:rFonts w:hint="eastAsia" w:ascii="宋体" w:hAnsi="宋体" w:eastAsia="宋体" w:cs="宋体"/>
          <w:sz w:val="24"/>
          <w:szCs w:val="24"/>
          <w:highlight w:val="none"/>
          <w:lang w:val="en-US" w:eastAsia="zh-CN" w:bidi="en-US"/>
        </w:rPr>
        <w:t>安全提示应确保标志</w:t>
      </w:r>
      <w:r>
        <w:rPr>
          <w:rFonts w:hint="eastAsia" w:ascii="宋体" w:hAnsi="宋体" w:eastAsia="宋体" w:cs="宋体"/>
          <w:sz w:val="24"/>
          <w:szCs w:val="24"/>
          <w:highlight w:val="none"/>
          <w:lang w:val="zh-CN" w:eastAsia="zh-CN" w:bidi="en-US"/>
        </w:rPr>
        <w:t>明显，</w:t>
      </w:r>
      <w:r>
        <w:rPr>
          <w:rFonts w:hint="eastAsia" w:ascii="宋体" w:hAnsi="宋体" w:eastAsia="宋体" w:cs="宋体"/>
          <w:sz w:val="24"/>
          <w:szCs w:val="24"/>
          <w:highlight w:val="none"/>
          <w:lang w:val="en-US" w:eastAsia="zh-CN" w:bidi="en-US"/>
        </w:rPr>
        <w:t>位置合理。</w:t>
      </w:r>
    </w:p>
    <w:p w14:paraId="762CCAFE">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2.4.5</w:t>
      </w:r>
      <w:r>
        <w:rPr>
          <w:rFonts w:hint="eastAsia" w:ascii="宋体" w:hAnsi="宋体" w:eastAsia="宋体" w:cs="宋体"/>
          <w:sz w:val="24"/>
          <w:szCs w:val="24"/>
          <w:highlight w:val="none"/>
          <w:lang w:val="en-US" w:eastAsia="zh-CN" w:bidi="en-US"/>
        </w:rPr>
        <w:t>水景设施及水系循环、动力及排灌设施应保持完好，运行正常。</w:t>
      </w:r>
    </w:p>
    <w:p w14:paraId="7B9A423E">
      <w:pPr>
        <w:pStyle w:val="24"/>
        <w:spacing w:after="60" w:line="390" w:lineRule="exact"/>
        <w:ind w:firstLine="2409" w:firstLineChars="1000"/>
        <w:jc w:val="left"/>
        <w:rPr>
          <w:rFonts w:hint="eastAsia" w:ascii="宋体" w:hAnsi="宋体" w:eastAsia="宋体" w:cs="宋体"/>
          <w:b/>
          <w:bCs/>
          <w:sz w:val="24"/>
          <w:szCs w:val="24"/>
          <w:highlight w:val="none"/>
          <w:lang w:val="en-US" w:eastAsia="zh-CN" w:bidi="en-US"/>
        </w:rPr>
      </w:pPr>
      <w:r>
        <w:rPr>
          <w:rFonts w:hint="eastAsia" w:ascii="宋体" w:hAnsi="宋体" w:eastAsia="宋体" w:cs="宋体"/>
          <w:b/>
          <w:bCs/>
          <w:sz w:val="24"/>
          <w:szCs w:val="24"/>
          <w:highlight w:val="none"/>
          <w:lang w:val="en-US" w:eastAsia="zh-CN" w:bidi="en-US"/>
        </w:rPr>
        <w:t>2.5技术档案</w:t>
      </w:r>
    </w:p>
    <w:p w14:paraId="54406142">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2.5.1</w:t>
      </w:r>
      <w:r>
        <w:rPr>
          <w:rFonts w:hint="eastAsia" w:ascii="宋体" w:hAnsi="宋体" w:eastAsia="宋体" w:cs="宋体"/>
          <w:sz w:val="24"/>
          <w:szCs w:val="24"/>
          <w:highlight w:val="none"/>
          <w:lang w:val="en-US" w:eastAsia="zh-CN" w:bidi="en-US"/>
        </w:rPr>
        <w:t>档案管理应符合下列规定：</w:t>
      </w:r>
    </w:p>
    <w:p w14:paraId="3877BF29">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1</w:t>
      </w:r>
      <w:r>
        <w:rPr>
          <w:rFonts w:hint="eastAsia" w:ascii="宋体" w:hAnsi="宋体" w:eastAsia="宋体" w:cs="宋体"/>
          <w:sz w:val="24"/>
          <w:szCs w:val="24"/>
          <w:highlight w:val="none"/>
          <w:lang w:val="en-US" w:eastAsia="zh-CN" w:bidi="en-US"/>
        </w:rPr>
        <w:t>绿地管理单位应制定年度、月度管理</w:t>
      </w:r>
      <w:r>
        <w:rPr>
          <w:rFonts w:hint="eastAsia" w:ascii="宋体" w:hAnsi="宋体" w:eastAsia="宋体" w:cs="宋体"/>
          <w:sz w:val="24"/>
          <w:szCs w:val="24"/>
          <w:highlight w:val="none"/>
          <w:lang w:val="zh-CN" w:eastAsia="zh-CN" w:bidi="en-US"/>
        </w:rPr>
        <w:t>计划，</w:t>
      </w:r>
      <w:r>
        <w:rPr>
          <w:rFonts w:hint="eastAsia" w:ascii="宋体" w:hAnsi="宋体" w:eastAsia="宋体" w:cs="宋体"/>
          <w:sz w:val="24"/>
          <w:szCs w:val="24"/>
          <w:highlight w:val="none"/>
          <w:lang w:val="en-US" w:eastAsia="zh-CN" w:bidi="en-US"/>
        </w:rPr>
        <w:t>并及时收集相关</w:t>
      </w:r>
      <w:r>
        <w:rPr>
          <w:rFonts w:hint="eastAsia" w:ascii="宋体" w:hAnsi="宋体" w:eastAsia="宋体" w:cs="宋体"/>
          <w:sz w:val="24"/>
          <w:szCs w:val="24"/>
          <w:highlight w:val="none"/>
          <w:lang w:val="zh-CN" w:eastAsia="zh-CN" w:bidi="en-US"/>
        </w:rPr>
        <w:t>资料，</w:t>
      </w:r>
      <w:r>
        <w:rPr>
          <w:rFonts w:hint="eastAsia" w:ascii="宋体" w:hAnsi="宋体" w:eastAsia="宋体" w:cs="宋体"/>
          <w:sz w:val="24"/>
          <w:szCs w:val="24"/>
          <w:highlight w:val="none"/>
          <w:lang w:val="en-US" w:eastAsia="zh-CN" w:bidi="en-US"/>
        </w:rPr>
        <w:t>建立完整的技术档案。</w:t>
      </w:r>
    </w:p>
    <w:p w14:paraId="36426BEE">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w:t>
      </w:r>
      <w:r>
        <w:rPr>
          <w:rFonts w:hint="eastAsia" w:ascii="宋体" w:hAnsi="宋体" w:eastAsia="宋体" w:cs="宋体"/>
          <w:sz w:val="24"/>
          <w:szCs w:val="24"/>
          <w:highlight w:val="none"/>
          <w:lang w:val="en-US" w:eastAsia="zh-CN" w:bidi="en-US"/>
        </w:rPr>
        <w:t>技术档案应每年整理装订</w:t>
      </w:r>
      <w:r>
        <w:rPr>
          <w:rFonts w:hint="eastAsia" w:ascii="宋体" w:hAnsi="宋体" w:eastAsia="宋体" w:cs="宋体"/>
          <w:sz w:val="24"/>
          <w:szCs w:val="24"/>
          <w:highlight w:val="none"/>
          <w:lang w:val="zh-CN" w:eastAsia="zh-CN" w:bidi="en-US"/>
        </w:rPr>
        <w:t>成册，</w:t>
      </w:r>
      <w:r>
        <w:rPr>
          <w:rFonts w:hint="eastAsia" w:ascii="宋体" w:hAnsi="宋体" w:eastAsia="宋体" w:cs="宋体"/>
          <w:sz w:val="24"/>
          <w:szCs w:val="24"/>
          <w:highlight w:val="none"/>
          <w:lang w:val="en-US" w:eastAsia="zh-CN" w:bidi="en-US"/>
        </w:rPr>
        <w:t>编好目录</w:t>
      </w:r>
      <w:r>
        <w:rPr>
          <w:rFonts w:hint="eastAsia" w:ascii="宋体" w:hAnsi="宋体" w:eastAsia="宋体" w:cs="宋体"/>
          <w:sz w:val="24"/>
          <w:szCs w:val="24"/>
          <w:highlight w:val="none"/>
          <w:lang w:val="zh-CN" w:eastAsia="zh-CN" w:bidi="en-US"/>
        </w:rPr>
        <w:t>，分类</w:t>
      </w:r>
      <w:r>
        <w:rPr>
          <w:rFonts w:hint="eastAsia" w:ascii="宋体" w:hAnsi="宋体" w:eastAsia="宋体" w:cs="宋体"/>
          <w:sz w:val="24"/>
          <w:szCs w:val="24"/>
          <w:highlight w:val="none"/>
          <w:lang w:val="en-US" w:eastAsia="zh-CN" w:bidi="en-US"/>
        </w:rPr>
        <w:t>归档。</w:t>
      </w:r>
    </w:p>
    <w:p w14:paraId="4B9B822F">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2.5.2</w:t>
      </w:r>
      <w:r>
        <w:rPr>
          <w:rFonts w:hint="eastAsia" w:ascii="宋体" w:hAnsi="宋体" w:eastAsia="宋体" w:cs="宋体"/>
          <w:sz w:val="24"/>
          <w:szCs w:val="24"/>
          <w:highlight w:val="none"/>
          <w:lang w:val="en-US" w:eastAsia="zh-CN" w:bidi="en-US"/>
        </w:rPr>
        <w:t>技术档案应包括下列内容：</w:t>
      </w:r>
    </w:p>
    <w:p w14:paraId="27CA6022">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1</w:t>
      </w:r>
      <w:r>
        <w:rPr>
          <w:rFonts w:hint="eastAsia" w:ascii="宋体" w:hAnsi="宋体" w:eastAsia="宋体" w:cs="宋体"/>
          <w:sz w:val="24"/>
          <w:szCs w:val="24"/>
          <w:highlight w:val="none"/>
          <w:lang w:val="en-US" w:eastAsia="zh-CN" w:bidi="en-US"/>
        </w:rPr>
        <w:t>绿地建设历史、基本</w:t>
      </w:r>
      <w:r>
        <w:rPr>
          <w:rFonts w:hint="eastAsia" w:ascii="宋体" w:hAnsi="宋体" w:eastAsia="宋体" w:cs="宋体"/>
          <w:sz w:val="24"/>
          <w:szCs w:val="24"/>
          <w:highlight w:val="none"/>
          <w:lang w:val="zh-CN" w:eastAsia="zh-CN" w:bidi="en-US"/>
        </w:rPr>
        <w:t>情况，</w:t>
      </w:r>
      <w:r>
        <w:rPr>
          <w:rFonts w:hint="eastAsia" w:ascii="宋体" w:hAnsi="宋体" w:eastAsia="宋体" w:cs="宋体"/>
          <w:sz w:val="24"/>
          <w:szCs w:val="24"/>
          <w:highlight w:val="none"/>
          <w:lang w:val="en-US" w:eastAsia="zh-CN" w:bidi="en-US"/>
        </w:rPr>
        <w:t>包括绿地面积</w:t>
      </w:r>
      <w:r>
        <w:rPr>
          <w:rFonts w:hint="eastAsia" w:ascii="宋体" w:hAnsi="宋体" w:eastAsia="宋体" w:cs="宋体"/>
          <w:sz w:val="24"/>
          <w:szCs w:val="24"/>
          <w:highlight w:val="none"/>
          <w:lang w:val="zh-CN" w:eastAsia="zh-CN" w:bidi="en-US"/>
        </w:rPr>
        <w:t>，植物</w:t>
      </w:r>
      <w:r>
        <w:rPr>
          <w:rFonts w:hint="eastAsia" w:ascii="宋体" w:hAnsi="宋体" w:eastAsia="宋体" w:cs="宋体"/>
          <w:sz w:val="24"/>
          <w:szCs w:val="24"/>
          <w:highlight w:val="none"/>
          <w:lang w:val="en-US" w:eastAsia="zh-CN" w:bidi="en-US"/>
        </w:rPr>
        <w:t>种类、 规格、</w:t>
      </w:r>
      <w:r>
        <w:rPr>
          <w:rFonts w:hint="eastAsia" w:ascii="宋体" w:hAnsi="宋体" w:eastAsia="宋体" w:cs="宋体"/>
          <w:sz w:val="24"/>
          <w:szCs w:val="24"/>
          <w:highlight w:val="none"/>
          <w:lang w:val="zh-CN" w:eastAsia="zh-CN" w:bidi="en-US"/>
        </w:rPr>
        <w:t>数量，</w:t>
      </w:r>
      <w:r>
        <w:rPr>
          <w:rFonts w:hint="eastAsia" w:ascii="宋体" w:hAnsi="宋体" w:eastAsia="宋体" w:cs="宋体"/>
          <w:sz w:val="24"/>
          <w:szCs w:val="24"/>
          <w:highlight w:val="none"/>
          <w:lang w:val="en-US" w:eastAsia="zh-CN" w:bidi="en-US"/>
        </w:rPr>
        <w:t>植物补植、破坏</w:t>
      </w:r>
      <w:r>
        <w:rPr>
          <w:rFonts w:hint="eastAsia" w:ascii="宋体" w:hAnsi="宋体" w:eastAsia="宋体" w:cs="宋体"/>
          <w:sz w:val="24"/>
          <w:szCs w:val="24"/>
          <w:highlight w:val="none"/>
          <w:lang w:val="zh-CN" w:eastAsia="zh-CN" w:bidi="en-US"/>
        </w:rPr>
        <w:t>情况，</w:t>
      </w:r>
      <w:r>
        <w:rPr>
          <w:rFonts w:hint="eastAsia" w:ascii="宋体" w:hAnsi="宋体" w:eastAsia="宋体" w:cs="宋体"/>
          <w:sz w:val="24"/>
          <w:szCs w:val="24"/>
          <w:highlight w:val="none"/>
          <w:lang w:val="en-US" w:eastAsia="zh-CN" w:bidi="en-US"/>
        </w:rPr>
        <w:t>土壤主要理化性状、绿地设计施工图、竣工图等。</w:t>
      </w:r>
    </w:p>
    <w:p w14:paraId="58D18974">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w:t>
      </w:r>
      <w:r>
        <w:rPr>
          <w:rFonts w:hint="eastAsia" w:ascii="宋体" w:hAnsi="宋体" w:eastAsia="宋体" w:cs="宋体"/>
          <w:sz w:val="24"/>
          <w:szCs w:val="24"/>
          <w:highlight w:val="none"/>
          <w:lang w:val="en-US" w:eastAsia="zh-CN" w:bidi="en-US"/>
        </w:rPr>
        <w:t>长状况评价、设施种类、数量及状况、养护工程的移交、苗木的移植、工程改造等。</w:t>
      </w:r>
    </w:p>
    <w:p w14:paraId="7CFAB0B0">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3</w:t>
      </w:r>
      <w:r>
        <w:rPr>
          <w:rFonts w:hint="eastAsia" w:ascii="宋体" w:hAnsi="宋体" w:eastAsia="宋体" w:cs="宋体"/>
          <w:sz w:val="24"/>
          <w:szCs w:val="24"/>
          <w:highlight w:val="none"/>
          <w:lang w:val="en-US" w:eastAsia="zh-CN" w:bidi="en-US"/>
        </w:rPr>
        <w:t>各项养护管理技术措施、日常养护日志、养护管理过程中的重大事件及其处理结果。</w:t>
      </w:r>
    </w:p>
    <w:p w14:paraId="06C19CB7">
      <w:pPr>
        <w:pStyle w:val="24"/>
        <w:spacing w:after="60" w:line="390" w:lineRule="exact"/>
        <w:ind w:firstLine="482" w:firstLineChars="200"/>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4</w:t>
      </w:r>
      <w:r>
        <w:rPr>
          <w:rFonts w:hint="eastAsia" w:ascii="宋体" w:hAnsi="宋体" w:eastAsia="宋体" w:cs="宋体"/>
          <w:sz w:val="24"/>
          <w:szCs w:val="24"/>
          <w:highlight w:val="none"/>
          <w:lang w:val="en-US" w:eastAsia="zh-CN" w:bidi="en-US"/>
        </w:rPr>
        <w:t>应用新技术、新工艺和新成果的单项技术资料。</w:t>
      </w:r>
    </w:p>
    <w:p w14:paraId="314A086A">
      <w:pPr>
        <w:pStyle w:val="24"/>
        <w:spacing w:after="60" w:line="390" w:lineRule="exact"/>
        <w:ind w:firstLine="2409" w:firstLineChars="1000"/>
        <w:jc w:val="left"/>
        <w:rPr>
          <w:rFonts w:hint="eastAsia" w:ascii="宋体" w:hAnsi="宋体" w:eastAsia="宋体" w:cs="宋体"/>
          <w:b/>
          <w:bCs/>
          <w:sz w:val="24"/>
          <w:szCs w:val="24"/>
          <w:highlight w:val="none"/>
          <w:lang w:val="en-US" w:eastAsia="zh-CN" w:bidi="en-US"/>
        </w:rPr>
      </w:pPr>
      <w:r>
        <w:rPr>
          <w:rFonts w:hint="eastAsia" w:ascii="宋体" w:hAnsi="宋体" w:eastAsia="宋体" w:cs="宋体"/>
          <w:b/>
          <w:bCs/>
          <w:sz w:val="24"/>
          <w:szCs w:val="24"/>
          <w:highlight w:val="none"/>
          <w:lang w:val="en-US" w:eastAsia="zh-CN" w:bidi="en-US"/>
        </w:rPr>
        <w:t>2.6安全保护</w:t>
      </w:r>
    </w:p>
    <w:p w14:paraId="607E5036">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2.6.1</w:t>
      </w:r>
      <w:r>
        <w:rPr>
          <w:rFonts w:hint="eastAsia" w:ascii="宋体" w:hAnsi="宋体" w:eastAsia="宋体" w:cs="宋体"/>
          <w:sz w:val="24"/>
          <w:szCs w:val="24"/>
          <w:highlight w:val="none"/>
          <w:lang w:val="en-US" w:eastAsia="zh-CN" w:bidi="en-US"/>
        </w:rPr>
        <w:t>绿地应定期进行专项</w:t>
      </w:r>
      <w:r>
        <w:rPr>
          <w:rFonts w:hint="eastAsia" w:ascii="宋体" w:hAnsi="宋体" w:eastAsia="宋体" w:cs="宋体"/>
          <w:sz w:val="24"/>
          <w:szCs w:val="24"/>
          <w:highlight w:val="none"/>
          <w:lang w:val="zh-CN" w:eastAsia="zh-CN" w:bidi="en-US"/>
        </w:rPr>
        <w:t>巡视，</w:t>
      </w:r>
      <w:r>
        <w:rPr>
          <w:rFonts w:hint="eastAsia" w:ascii="宋体" w:hAnsi="宋体" w:eastAsia="宋体" w:cs="宋体"/>
          <w:sz w:val="24"/>
          <w:szCs w:val="24"/>
          <w:highlight w:val="none"/>
          <w:lang w:val="en-US" w:eastAsia="zh-CN" w:bidi="en-US"/>
        </w:rPr>
        <w:t>内容应包括绿地内植物生长状况及景观效果、绿地卫生、附属设施、抗震减灾设施、应急避难场所及安全隐</w:t>
      </w:r>
      <w:r>
        <w:rPr>
          <w:rFonts w:hint="eastAsia" w:ascii="宋体" w:hAnsi="宋体" w:eastAsia="宋体" w:cs="宋体"/>
          <w:sz w:val="24"/>
          <w:szCs w:val="24"/>
          <w:highlight w:val="none"/>
          <w:lang w:val="zh-CN" w:eastAsia="zh-CN" w:bidi="en-US"/>
        </w:rPr>
        <w:t>患等，</w:t>
      </w:r>
      <w:r>
        <w:rPr>
          <w:rFonts w:hint="eastAsia" w:ascii="宋体" w:hAnsi="宋体" w:eastAsia="宋体" w:cs="宋体"/>
          <w:sz w:val="24"/>
          <w:szCs w:val="24"/>
          <w:highlight w:val="none"/>
          <w:lang w:val="en-US" w:eastAsia="zh-CN" w:bidi="en-US"/>
        </w:rPr>
        <w:t>及时处理并记录所发现问题。绿地应按需配备安保人员。</w:t>
      </w:r>
    </w:p>
    <w:p w14:paraId="66565809">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2.6.2</w:t>
      </w:r>
      <w:r>
        <w:rPr>
          <w:rFonts w:hint="eastAsia" w:ascii="宋体" w:hAnsi="宋体" w:eastAsia="宋体" w:cs="宋体"/>
          <w:sz w:val="24"/>
          <w:szCs w:val="24"/>
          <w:highlight w:val="none"/>
          <w:lang w:val="en-US" w:eastAsia="zh-CN" w:bidi="en-US"/>
        </w:rPr>
        <w:t>暴风雨、暴雪等来临前，应检査树木绑扎、立桩情况，设置</w:t>
      </w:r>
      <w:r>
        <w:rPr>
          <w:rFonts w:hint="eastAsia" w:ascii="宋体" w:hAnsi="宋体" w:eastAsia="宋体" w:cs="宋体"/>
          <w:sz w:val="24"/>
          <w:szCs w:val="24"/>
          <w:highlight w:val="none"/>
          <w:lang w:val="zh-CN" w:eastAsia="zh-CN" w:bidi="en-US"/>
        </w:rPr>
        <w:t>支撑，</w:t>
      </w:r>
      <w:r>
        <w:rPr>
          <w:rFonts w:hint="eastAsia" w:ascii="宋体" w:hAnsi="宋体" w:eastAsia="宋体" w:cs="宋体"/>
          <w:sz w:val="24"/>
          <w:szCs w:val="24"/>
          <w:highlight w:val="none"/>
          <w:lang w:val="en-US" w:eastAsia="zh-CN" w:bidi="en-US"/>
        </w:rPr>
        <w:t>保持稳固。大雪大风后应及时检查苗木的损伤情况，清除倒伏苗木及存在安全隐患的树枝。</w:t>
      </w:r>
    </w:p>
    <w:p w14:paraId="07A9BF57">
      <w:pPr>
        <w:pStyle w:val="24"/>
        <w:spacing w:after="60" w:line="390" w:lineRule="exact"/>
        <w:jc w:val="left"/>
        <w:rPr>
          <w:rFonts w:hint="eastAsia" w:ascii="宋体" w:hAnsi="宋体" w:eastAsia="宋体" w:cs="宋体"/>
          <w:sz w:val="24"/>
          <w:szCs w:val="24"/>
          <w:highlight w:val="none"/>
          <w:lang w:val="en-US" w:eastAsia="zh-CN" w:bidi="en-US"/>
        </w:rPr>
      </w:pPr>
      <w:r>
        <w:rPr>
          <w:rFonts w:hint="eastAsia" w:ascii="宋体" w:hAnsi="宋体" w:eastAsia="宋体" w:cs="宋体"/>
          <w:b/>
          <w:bCs/>
          <w:sz w:val="24"/>
          <w:szCs w:val="24"/>
          <w:highlight w:val="none"/>
          <w:lang w:val="en-US" w:eastAsia="zh-CN" w:bidi="en-US"/>
        </w:rPr>
        <w:t>2.6.3</w:t>
      </w:r>
      <w:r>
        <w:rPr>
          <w:rFonts w:hint="eastAsia" w:ascii="宋体" w:hAnsi="宋体" w:eastAsia="宋体" w:cs="宋体"/>
          <w:sz w:val="24"/>
          <w:szCs w:val="24"/>
          <w:highlight w:val="none"/>
          <w:lang w:val="en-US" w:eastAsia="zh-CN" w:bidi="en-US"/>
        </w:rPr>
        <w:t>高温暑热、低温寒冷等极端</w:t>
      </w:r>
      <w:r>
        <w:rPr>
          <w:rFonts w:hint="eastAsia" w:ascii="宋体" w:hAnsi="宋体" w:eastAsia="宋体" w:cs="宋体"/>
          <w:sz w:val="24"/>
          <w:szCs w:val="24"/>
          <w:highlight w:val="none"/>
          <w:lang w:val="zh-CN" w:eastAsia="zh-CN" w:bidi="en-US"/>
        </w:rPr>
        <w:t>天气，</w:t>
      </w:r>
      <w:r>
        <w:rPr>
          <w:rFonts w:hint="eastAsia" w:ascii="宋体" w:hAnsi="宋体" w:eastAsia="宋体" w:cs="宋体"/>
          <w:sz w:val="24"/>
          <w:szCs w:val="24"/>
          <w:highlight w:val="none"/>
          <w:lang w:val="en-US" w:eastAsia="zh-CN" w:bidi="en-US"/>
        </w:rPr>
        <w:t>应对植物、附属设施等做好防护措施。防护情况应及时检査，发现问题应及时补救。</w:t>
      </w:r>
    </w:p>
    <w:p w14:paraId="48BF8793">
      <w:pPr>
        <w:pStyle w:val="24"/>
        <w:spacing w:after="60" w:line="390" w:lineRule="exact"/>
        <w:jc w:val="left"/>
        <w:rPr>
          <w:rFonts w:hint="eastAsia" w:ascii="宋体" w:hAnsi="宋体" w:eastAsia="宋体" w:cs="宋体"/>
          <w:sz w:val="24"/>
          <w:szCs w:val="24"/>
          <w:highlight w:val="none"/>
          <w:lang w:val="en-US" w:eastAsia="zh-CN" w:bidi="en-US"/>
        </w:rPr>
        <w:sectPr>
          <w:footerReference r:id="rId11" w:type="default"/>
          <w:footerReference r:id="rId12" w:type="even"/>
          <w:type w:val="continuous"/>
          <w:pgSz w:w="11900" w:h="16840"/>
          <w:pgMar w:top="1440" w:right="1800" w:bottom="1440" w:left="1800" w:header="0" w:footer="3" w:gutter="0"/>
          <w:pgNumType w:fmt="decimal"/>
          <w:cols w:space="720" w:num="1"/>
          <w:docGrid w:linePitch="360" w:charSpace="0"/>
        </w:sectPr>
      </w:pPr>
      <w:r>
        <w:rPr>
          <w:rFonts w:hint="eastAsia" w:ascii="宋体" w:hAnsi="宋体" w:eastAsia="宋体" w:cs="宋体"/>
          <w:b/>
          <w:bCs/>
          <w:sz w:val="24"/>
          <w:szCs w:val="24"/>
          <w:highlight w:val="none"/>
          <w:lang w:val="en-US" w:eastAsia="zh-CN" w:bidi="en-US"/>
        </w:rPr>
        <w:t>2.6.4</w:t>
      </w:r>
      <w:r>
        <w:rPr>
          <w:rFonts w:hint="eastAsia" w:ascii="宋体" w:hAnsi="宋体" w:eastAsia="宋体" w:cs="宋体"/>
          <w:sz w:val="24"/>
          <w:szCs w:val="24"/>
          <w:highlight w:val="none"/>
          <w:lang w:val="en-US" w:eastAsia="zh-CN" w:bidi="en-US"/>
        </w:rPr>
        <w:t>公园、广场人流量多的地方宜安装监控设施。</w:t>
      </w:r>
    </w:p>
    <w:p w14:paraId="5F2DD3AC">
      <w:pPr>
        <w:pStyle w:val="24"/>
        <w:spacing w:after="60" w:line="390" w:lineRule="exact"/>
        <w:jc w:val="center"/>
        <w:rPr>
          <w:rFonts w:hint="eastAsia" w:ascii="宋体" w:hAnsi="宋体" w:eastAsia="宋体" w:cs="宋体"/>
          <w:sz w:val="24"/>
          <w:szCs w:val="24"/>
          <w:highlight w:val="none"/>
          <w:lang w:val="en-US" w:eastAsia="zh-CN" w:bidi="en-US"/>
        </w:rPr>
      </w:pPr>
      <w:bookmarkStart w:id="636" w:name="bookmark11"/>
      <w:bookmarkStart w:id="637" w:name="bookmark10"/>
      <w:bookmarkStart w:id="638" w:name="bookmark12"/>
      <w:r>
        <w:rPr>
          <w:rFonts w:hint="eastAsia" w:ascii="宋体" w:hAnsi="宋体" w:eastAsia="宋体" w:cs="宋体"/>
          <w:sz w:val="24"/>
          <w:szCs w:val="24"/>
          <w:highlight w:val="none"/>
          <w:lang w:val="en-US" w:eastAsia="zh-CN" w:bidi="en-US"/>
        </w:rPr>
        <w:t>附录A树木养护质量等级</w:t>
      </w:r>
      <w:bookmarkEnd w:id="636"/>
      <w:bookmarkEnd w:id="637"/>
      <w:bookmarkEnd w:id="638"/>
    </w:p>
    <w:p w14:paraId="5EA6A9C2">
      <w:pPr>
        <w:pStyle w:val="24"/>
        <w:spacing w:after="60" w:line="390" w:lineRule="exact"/>
        <w:jc w:val="center"/>
        <w:rPr>
          <w:rFonts w:hint="eastAsia" w:ascii="宋体" w:hAnsi="宋体" w:eastAsia="宋体" w:cs="宋体"/>
          <w:sz w:val="24"/>
          <w:szCs w:val="24"/>
          <w:highlight w:val="none"/>
          <w:lang w:val="en-US" w:eastAsia="zh-CN" w:bidi="en-US"/>
        </w:rPr>
      </w:pPr>
    </w:p>
    <w:tbl>
      <w:tblPr>
        <w:tblStyle w:val="14"/>
        <w:tblW w:w="8525" w:type="dxa"/>
        <w:jc w:val="center"/>
        <w:tblLayout w:type="fixed"/>
        <w:tblCellMar>
          <w:top w:w="0" w:type="dxa"/>
          <w:left w:w="10" w:type="dxa"/>
          <w:bottom w:w="0" w:type="dxa"/>
          <w:right w:w="10" w:type="dxa"/>
        </w:tblCellMar>
      </w:tblPr>
      <w:tblGrid>
        <w:gridCol w:w="682"/>
        <w:gridCol w:w="1050"/>
        <w:gridCol w:w="2000"/>
        <w:gridCol w:w="2393"/>
        <w:gridCol w:w="2400"/>
      </w:tblGrid>
      <w:tr w14:paraId="74FCB95D">
        <w:tblPrEx>
          <w:tblCellMar>
            <w:top w:w="0" w:type="dxa"/>
            <w:left w:w="10" w:type="dxa"/>
            <w:bottom w:w="0" w:type="dxa"/>
            <w:right w:w="10" w:type="dxa"/>
          </w:tblCellMar>
        </w:tblPrEx>
        <w:trPr>
          <w:trHeight w:val="375" w:hRule="exact"/>
          <w:jc w:val="center"/>
        </w:trPr>
        <w:tc>
          <w:tcPr>
            <w:tcW w:w="682" w:type="dxa"/>
            <w:vMerge w:val="restart"/>
            <w:tcBorders>
              <w:top w:val="single" w:color="auto" w:sz="4" w:space="0"/>
              <w:left w:val="single" w:color="auto" w:sz="4" w:space="0"/>
            </w:tcBorders>
            <w:shd w:val="clear" w:color="auto" w:fill="FFFFFF"/>
            <w:noWrap w:val="0"/>
            <w:vAlign w:val="center"/>
          </w:tcPr>
          <w:p w14:paraId="41A8FF9A">
            <w:pPr>
              <w:pStyle w:val="26"/>
              <w:spacing w:line="315"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序 号</w:t>
            </w:r>
          </w:p>
        </w:tc>
        <w:tc>
          <w:tcPr>
            <w:tcW w:w="1050" w:type="dxa"/>
            <w:vMerge w:val="restart"/>
            <w:tcBorders>
              <w:top w:val="single" w:color="auto" w:sz="4" w:space="0"/>
              <w:left w:val="single" w:color="auto" w:sz="4" w:space="0"/>
            </w:tcBorders>
            <w:shd w:val="clear" w:color="auto" w:fill="FFFFFF"/>
            <w:noWrap w:val="0"/>
            <w:vAlign w:val="center"/>
          </w:tcPr>
          <w:p w14:paraId="439B24C3">
            <w:pPr>
              <w:pStyle w:val="26"/>
              <w:spacing w:line="240" w:lineRule="auto"/>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项目</w:t>
            </w:r>
          </w:p>
        </w:tc>
        <w:tc>
          <w:tcPr>
            <w:tcW w:w="6793" w:type="dxa"/>
            <w:gridSpan w:val="3"/>
            <w:tcBorders>
              <w:top w:val="single" w:color="auto" w:sz="4" w:space="0"/>
              <w:left w:val="single" w:color="auto" w:sz="4" w:space="0"/>
              <w:right w:val="single" w:color="auto" w:sz="4" w:space="0"/>
            </w:tcBorders>
            <w:shd w:val="clear" w:color="auto" w:fill="FFFFFF"/>
            <w:noWrap w:val="0"/>
            <w:vAlign w:val="center"/>
          </w:tcPr>
          <w:p w14:paraId="713B8302">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质</w:t>
            </w:r>
            <w:r>
              <w:rPr>
                <w:rFonts w:hint="eastAsia" w:ascii="宋体" w:hAnsi="宋体" w:eastAsia="宋体" w:cs="宋体"/>
                <w:sz w:val="20"/>
                <w:szCs w:val="20"/>
                <w:highlight w:val="none"/>
                <w:lang w:val="en-US" w:eastAsia="zh-CN"/>
              </w:rPr>
              <w:t>量</w:t>
            </w:r>
            <w:r>
              <w:rPr>
                <w:rFonts w:hint="eastAsia" w:ascii="宋体" w:hAnsi="宋体" w:eastAsia="宋体" w:cs="宋体"/>
                <w:sz w:val="20"/>
                <w:szCs w:val="20"/>
                <w:highlight w:val="none"/>
              </w:rPr>
              <w:t>要求</w:t>
            </w:r>
          </w:p>
        </w:tc>
      </w:tr>
      <w:tr w14:paraId="3BE90958">
        <w:tblPrEx>
          <w:tblCellMar>
            <w:top w:w="0" w:type="dxa"/>
            <w:left w:w="10" w:type="dxa"/>
            <w:bottom w:w="0" w:type="dxa"/>
            <w:right w:w="10" w:type="dxa"/>
          </w:tblCellMar>
        </w:tblPrEx>
        <w:trPr>
          <w:trHeight w:val="375" w:hRule="exact"/>
          <w:jc w:val="center"/>
        </w:trPr>
        <w:tc>
          <w:tcPr>
            <w:tcW w:w="682" w:type="dxa"/>
            <w:vMerge w:val="continue"/>
            <w:tcBorders>
              <w:left w:val="single" w:color="auto" w:sz="4" w:space="0"/>
            </w:tcBorders>
            <w:shd w:val="clear" w:color="auto" w:fill="FFFFFF"/>
            <w:noWrap w:val="0"/>
            <w:vAlign w:val="center"/>
          </w:tcPr>
          <w:p w14:paraId="49EFB9B2">
            <w:pPr>
              <w:rPr>
                <w:rFonts w:hint="eastAsia" w:ascii="宋体" w:hAnsi="宋体" w:eastAsia="宋体" w:cs="宋体"/>
                <w:sz w:val="20"/>
                <w:szCs w:val="20"/>
                <w:highlight w:val="none"/>
              </w:rPr>
            </w:pPr>
          </w:p>
        </w:tc>
        <w:tc>
          <w:tcPr>
            <w:tcW w:w="1050" w:type="dxa"/>
            <w:vMerge w:val="continue"/>
            <w:tcBorders>
              <w:left w:val="single" w:color="auto" w:sz="4" w:space="0"/>
            </w:tcBorders>
            <w:shd w:val="clear" w:color="auto" w:fill="FFFFFF"/>
            <w:noWrap w:val="0"/>
            <w:vAlign w:val="center"/>
          </w:tcPr>
          <w:p w14:paraId="76EB018E">
            <w:pPr>
              <w:rPr>
                <w:rFonts w:hint="eastAsia" w:ascii="宋体" w:hAnsi="宋体" w:eastAsia="宋体" w:cs="宋体"/>
                <w:sz w:val="20"/>
                <w:szCs w:val="20"/>
                <w:highlight w:val="none"/>
              </w:rPr>
            </w:pPr>
          </w:p>
        </w:tc>
        <w:tc>
          <w:tcPr>
            <w:tcW w:w="2000" w:type="dxa"/>
            <w:tcBorders>
              <w:top w:val="single" w:color="auto" w:sz="4" w:space="0"/>
              <w:left w:val="single" w:color="auto" w:sz="4" w:space="0"/>
            </w:tcBorders>
            <w:shd w:val="clear" w:color="auto" w:fill="FFFFFF"/>
            <w:noWrap w:val="0"/>
            <w:vAlign w:val="center"/>
          </w:tcPr>
          <w:p w14:paraId="2CEF1234">
            <w:pPr>
              <w:pStyle w:val="26"/>
              <w:spacing w:line="240" w:lineRule="auto"/>
              <w:ind w:firstLine="940"/>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一</w:t>
            </w:r>
            <w:r>
              <w:rPr>
                <w:rFonts w:hint="eastAsia" w:ascii="宋体" w:hAnsi="宋体" w:eastAsia="宋体" w:cs="宋体"/>
                <w:sz w:val="20"/>
                <w:szCs w:val="20"/>
                <w:highlight w:val="none"/>
              </w:rPr>
              <w:t>级</w:t>
            </w:r>
          </w:p>
        </w:tc>
        <w:tc>
          <w:tcPr>
            <w:tcW w:w="2393" w:type="dxa"/>
            <w:tcBorders>
              <w:top w:val="single" w:color="auto" w:sz="4" w:space="0"/>
              <w:left w:val="single" w:color="auto" w:sz="4" w:space="0"/>
            </w:tcBorders>
            <w:shd w:val="clear" w:color="auto" w:fill="FFFFFF"/>
            <w:noWrap w:val="0"/>
            <w:vAlign w:val="center"/>
          </w:tcPr>
          <w:p w14:paraId="5D0465B0">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二</w:t>
            </w:r>
            <w:r>
              <w:rPr>
                <w:rFonts w:hint="eastAsia" w:ascii="宋体" w:hAnsi="宋体" w:eastAsia="宋体" w:cs="宋体"/>
                <w:sz w:val="20"/>
                <w:szCs w:val="20"/>
                <w:highlight w:val="none"/>
              </w:rPr>
              <w:t>级</w:t>
            </w:r>
          </w:p>
        </w:tc>
        <w:tc>
          <w:tcPr>
            <w:tcW w:w="2400" w:type="dxa"/>
            <w:tcBorders>
              <w:top w:val="single" w:color="auto" w:sz="4" w:space="0"/>
              <w:left w:val="single" w:color="auto" w:sz="4" w:space="0"/>
              <w:right w:val="single" w:color="auto" w:sz="4" w:space="0"/>
            </w:tcBorders>
            <w:shd w:val="clear" w:color="auto" w:fill="FFFFFF"/>
            <w:noWrap w:val="0"/>
            <w:vAlign w:val="center"/>
          </w:tcPr>
          <w:p w14:paraId="4194AE5B">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三级</w:t>
            </w:r>
          </w:p>
        </w:tc>
      </w:tr>
      <w:tr w14:paraId="76EC9341">
        <w:tblPrEx>
          <w:tblCellMar>
            <w:top w:w="0" w:type="dxa"/>
            <w:left w:w="10" w:type="dxa"/>
            <w:bottom w:w="0" w:type="dxa"/>
            <w:right w:w="10" w:type="dxa"/>
          </w:tblCellMar>
        </w:tblPrEx>
        <w:trPr>
          <w:trHeight w:val="5040" w:hRule="exact"/>
          <w:jc w:val="center"/>
        </w:trPr>
        <w:tc>
          <w:tcPr>
            <w:tcW w:w="682" w:type="dxa"/>
            <w:tcBorders>
              <w:top w:val="single" w:color="auto" w:sz="4" w:space="0"/>
              <w:left w:val="single" w:color="auto" w:sz="4" w:space="0"/>
            </w:tcBorders>
            <w:shd w:val="clear" w:color="auto" w:fill="FFFFFF"/>
            <w:noWrap w:val="0"/>
            <w:vAlign w:val="center"/>
          </w:tcPr>
          <w:p w14:paraId="1B08C333">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1</w:t>
            </w:r>
          </w:p>
        </w:tc>
        <w:tc>
          <w:tcPr>
            <w:tcW w:w="1050" w:type="dxa"/>
            <w:tcBorders>
              <w:top w:val="single" w:color="auto" w:sz="4" w:space="0"/>
              <w:left w:val="single" w:color="auto" w:sz="4" w:space="0"/>
            </w:tcBorders>
            <w:shd w:val="clear" w:color="auto" w:fill="FFFFFF"/>
            <w:noWrap w:val="0"/>
            <w:vAlign w:val="center"/>
          </w:tcPr>
          <w:p w14:paraId="2D851428">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整体效果</w:t>
            </w:r>
          </w:p>
        </w:tc>
        <w:tc>
          <w:tcPr>
            <w:tcW w:w="2000" w:type="dxa"/>
            <w:tcBorders>
              <w:top w:val="single" w:color="auto" w:sz="4" w:space="0"/>
              <w:left w:val="single" w:color="auto" w:sz="4" w:space="0"/>
            </w:tcBorders>
            <w:shd w:val="clear" w:color="auto" w:fill="FFFFFF"/>
            <w:noWrap w:val="0"/>
            <w:vAlign w:val="center"/>
          </w:tcPr>
          <w:p w14:paraId="41D6C41E">
            <w:pPr>
              <w:pStyle w:val="26"/>
              <w:spacing w:line="310" w:lineRule="exac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1）</w:t>
            </w:r>
            <w:r>
              <w:rPr>
                <w:rFonts w:hint="eastAsia" w:ascii="宋体" w:hAnsi="宋体" w:eastAsia="宋体" w:cs="宋体"/>
                <w:sz w:val="20"/>
                <w:szCs w:val="20"/>
                <w:highlight w:val="none"/>
              </w:rPr>
              <w:t>树林、树丛群落结构</w:t>
            </w:r>
            <w:r>
              <w:rPr>
                <w:rFonts w:hint="eastAsia" w:ascii="宋体" w:hAnsi="宋体" w:eastAsia="宋体" w:cs="宋体"/>
                <w:sz w:val="20"/>
                <w:szCs w:val="20"/>
                <w:highlight w:val="none"/>
                <w:lang w:val="zh-CN" w:eastAsia="zh-CN" w:bidi="zh-CN"/>
              </w:rPr>
              <w:t>含理，</w:t>
            </w:r>
            <w:r>
              <w:rPr>
                <w:rFonts w:hint="eastAsia" w:ascii="宋体" w:hAnsi="宋体" w:eastAsia="宋体" w:cs="宋体"/>
                <w:sz w:val="20"/>
                <w:szCs w:val="20"/>
                <w:highlight w:val="none"/>
              </w:rPr>
              <w:t>植株疏密得当</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层次分明</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林冠线和林缘线清晰</w:t>
            </w:r>
            <w:r>
              <w:rPr>
                <w:rFonts w:hint="eastAsia" w:ascii="宋体" w:hAnsi="宋体" w:eastAsia="宋体" w:cs="宋体"/>
                <w:sz w:val="20"/>
                <w:szCs w:val="20"/>
                <w:highlight w:val="none"/>
                <w:lang w:val="en-US" w:eastAsia="zh-CN"/>
              </w:rPr>
              <w:t>饱满</w:t>
            </w:r>
          </w:p>
          <w:p w14:paraId="23C95E81">
            <w:pPr>
              <w:pStyle w:val="26"/>
              <w:spacing w:line="310" w:lineRule="exac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2）孤</w:t>
            </w:r>
            <w:r>
              <w:rPr>
                <w:rFonts w:hint="eastAsia" w:ascii="宋体" w:hAnsi="宋体" w:eastAsia="宋体" w:cs="宋体"/>
                <w:sz w:val="20"/>
                <w:szCs w:val="20"/>
                <w:highlight w:val="none"/>
              </w:rPr>
              <w:t xml:space="preserve">植树树形完 </w:t>
            </w:r>
            <w:r>
              <w:rPr>
                <w:rFonts w:hint="eastAsia" w:ascii="宋体" w:hAnsi="宋体" w:eastAsia="宋体" w:cs="宋体"/>
                <w:sz w:val="20"/>
                <w:szCs w:val="20"/>
                <w:highlight w:val="none"/>
                <w:lang w:val="en-US" w:eastAsia="zh-CN"/>
              </w:rPr>
              <w:t>美</w:t>
            </w:r>
            <w:r>
              <w:rPr>
                <w:rFonts w:hint="eastAsia" w:ascii="宋体" w:hAnsi="宋体" w:eastAsia="宋体" w:cs="宋体"/>
                <w:i/>
                <w:iCs/>
                <w:sz w:val="20"/>
                <w:szCs w:val="20"/>
                <w:highlight w:val="none"/>
                <w:lang w:val="zh-CN" w:eastAsia="zh-CN" w:bidi="zh-CN"/>
              </w:rPr>
              <w:t>，</w:t>
            </w:r>
            <w:r>
              <w:rPr>
                <w:rFonts w:hint="eastAsia" w:ascii="宋体" w:hAnsi="宋体" w:eastAsia="宋体" w:cs="宋体"/>
                <w:sz w:val="20"/>
                <w:szCs w:val="20"/>
                <w:highlight w:val="none"/>
              </w:rPr>
              <w:t>树冠饱満：</w:t>
            </w:r>
          </w:p>
          <w:p w14:paraId="321678DA">
            <w:pPr>
              <w:pStyle w:val="26"/>
              <w:spacing w:line="310" w:lineRule="exac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3）</w:t>
            </w:r>
            <w:r>
              <w:rPr>
                <w:rFonts w:hint="eastAsia" w:ascii="宋体" w:hAnsi="宋体" w:eastAsia="宋体" w:cs="宋体"/>
                <w:sz w:val="20"/>
                <w:szCs w:val="20"/>
                <w:highlight w:val="none"/>
              </w:rPr>
              <w:t xml:space="preserve">行道树树冠完 </w:t>
            </w:r>
            <w:r>
              <w:rPr>
                <w:rFonts w:hint="eastAsia" w:ascii="宋体" w:hAnsi="宋体" w:eastAsia="宋体" w:cs="宋体"/>
                <w:sz w:val="20"/>
                <w:szCs w:val="20"/>
                <w:highlight w:val="none"/>
                <w:lang w:val="zh-CN" w:eastAsia="zh-CN" w:bidi="zh-CN"/>
              </w:rPr>
              <w:t>整，</w:t>
            </w:r>
            <w:r>
              <w:rPr>
                <w:rFonts w:hint="eastAsia" w:ascii="宋体" w:hAnsi="宋体" w:eastAsia="宋体" w:cs="宋体"/>
                <w:sz w:val="20"/>
                <w:szCs w:val="20"/>
                <w:highlight w:val="none"/>
              </w:rPr>
              <w:t>规格整齐,</w:t>
            </w:r>
            <w:r>
              <w:rPr>
                <w:rFonts w:hint="eastAsia" w:ascii="宋体" w:hAnsi="宋体" w:eastAsia="宋体" w:cs="宋体"/>
                <w:i/>
                <w:iCs/>
                <w:sz w:val="20"/>
                <w:szCs w:val="20"/>
                <w:highlight w:val="none"/>
              </w:rPr>
              <w:t xml:space="preserve">一 </w:t>
            </w:r>
            <w:r>
              <w:rPr>
                <w:rFonts w:hint="eastAsia" w:ascii="宋体" w:hAnsi="宋体" w:eastAsia="宋体" w:cs="宋体"/>
                <w:sz w:val="20"/>
                <w:szCs w:val="20"/>
                <w:highlight w:val="none"/>
              </w:rPr>
              <w:t>致</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分枝点高度</w:t>
            </w:r>
            <w:r>
              <w:rPr>
                <w:rFonts w:hint="eastAsia" w:ascii="宋体" w:hAnsi="宋体" w:eastAsia="宋体" w:cs="宋体"/>
                <w:sz w:val="20"/>
                <w:szCs w:val="20"/>
                <w:highlight w:val="none"/>
                <w:lang w:val="en-US" w:eastAsia="zh-CN"/>
              </w:rPr>
              <w:t>一</w:t>
            </w:r>
            <w:r>
              <w:rPr>
                <w:rFonts w:hint="eastAsia" w:ascii="宋体" w:hAnsi="宋体" w:eastAsia="宋体" w:cs="宋体"/>
                <w:sz w:val="20"/>
                <w:szCs w:val="20"/>
                <w:highlight w:val="none"/>
              </w:rPr>
              <w:t>致</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缺株&lt;3%</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bidi="en-US"/>
              </w:rPr>
              <w:t xml:space="preserve">树 </w:t>
            </w:r>
            <w:r>
              <w:rPr>
                <w:rFonts w:hint="eastAsia" w:ascii="宋体" w:hAnsi="宋体" w:eastAsia="宋体" w:cs="宋体"/>
                <w:sz w:val="20"/>
                <w:szCs w:val="20"/>
                <w:highlight w:val="none"/>
              </w:rPr>
              <w:t>干挺直；</w:t>
            </w:r>
          </w:p>
          <w:p w14:paraId="72645118">
            <w:pPr>
              <w:pStyle w:val="26"/>
              <w:spacing w:line="310" w:lineRule="exact"/>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4）绿</w:t>
            </w:r>
            <w:r>
              <w:rPr>
                <w:rFonts w:hint="eastAsia" w:ascii="宋体" w:hAnsi="宋体" w:eastAsia="宋体" w:cs="宋体"/>
                <w:sz w:val="20"/>
                <w:szCs w:val="20"/>
                <w:highlight w:val="none"/>
                <w:lang w:val="en-US" w:eastAsia="zh-CN"/>
              </w:rPr>
              <w:t>篱</w:t>
            </w:r>
            <w:r>
              <w:rPr>
                <w:rFonts w:hint="eastAsia" w:ascii="宋体" w:hAnsi="宋体" w:eastAsia="宋体" w:cs="宋体"/>
                <w:sz w:val="20"/>
                <w:szCs w:val="20"/>
                <w:highlight w:val="none"/>
              </w:rPr>
              <w:t>无</w:t>
            </w:r>
            <w:r>
              <w:rPr>
                <w:rFonts w:hint="eastAsia" w:ascii="宋体" w:hAnsi="宋体" w:eastAsia="宋体" w:cs="宋体"/>
                <w:sz w:val="20"/>
                <w:szCs w:val="20"/>
                <w:highlight w:val="none"/>
                <w:lang w:val="zh-CN" w:eastAsia="zh-CN" w:bidi="zh-CN"/>
              </w:rPr>
              <w:t xml:space="preserve">缺株， </w:t>
            </w:r>
            <w:r>
              <w:rPr>
                <w:rFonts w:hint="eastAsia" w:ascii="宋体" w:hAnsi="宋体" w:eastAsia="宋体" w:cs="宋体"/>
                <w:sz w:val="20"/>
                <w:szCs w:val="20"/>
                <w:highlight w:val="none"/>
              </w:rPr>
              <w:t>修</w:t>
            </w:r>
            <w:r>
              <w:rPr>
                <w:rFonts w:hint="eastAsia" w:ascii="宋体" w:hAnsi="宋体" w:eastAsia="宋体" w:cs="宋体"/>
                <w:sz w:val="20"/>
                <w:szCs w:val="20"/>
                <w:highlight w:val="none"/>
                <w:lang w:val="en-US" w:eastAsia="zh-CN"/>
              </w:rPr>
              <w:t>剪</w:t>
            </w:r>
            <w:r>
              <w:rPr>
                <w:rFonts w:hint="eastAsia" w:ascii="宋体" w:hAnsi="宋体" w:eastAsia="宋体" w:cs="宋体"/>
                <w:sz w:val="20"/>
                <w:szCs w:val="20"/>
                <w:highlight w:val="none"/>
              </w:rPr>
              <w:t>平整抱满</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直 线处平直</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曲线处</w:t>
            </w:r>
            <w:r>
              <w:rPr>
                <w:rFonts w:hint="eastAsia" w:ascii="宋体" w:hAnsi="宋体" w:eastAsia="宋体" w:cs="宋体"/>
                <w:sz w:val="20"/>
                <w:szCs w:val="20"/>
                <w:highlight w:val="none"/>
                <w:lang w:val="en-US" w:eastAsia="zh-CN"/>
              </w:rPr>
              <w:t>弧度圆润</w:t>
            </w:r>
          </w:p>
        </w:tc>
        <w:tc>
          <w:tcPr>
            <w:tcW w:w="2393" w:type="dxa"/>
            <w:tcBorders>
              <w:top w:val="single" w:color="auto" w:sz="4" w:space="0"/>
              <w:left w:val="single" w:color="auto" w:sz="4" w:space="0"/>
            </w:tcBorders>
            <w:shd w:val="clear" w:color="auto" w:fill="FFFFFF"/>
            <w:noWrap w:val="0"/>
            <w:vAlign w:val="center"/>
          </w:tcPr>
          <w:p w14:paraId="12D10B1E">
            <w:pPr>
              <w:pStyle w:val="26"/>
              <w:spacing w:after="300" w:line="292" w:lineRule="exact"/>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rPr>
              <w:t>（1</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树林、树丛群 落结构基本</w:t>
            </w:r>
            <w:r>
              <w:rPr>
                <w:rFonts w:hint="eastAsia" w:ascii="宋体" w:hAnsi="宋体" w:eastAsia="宋体" w:cs="宋体"/>
                <w:sz w:val="20"/>
                <w:szCs w:val="20"/>
                <w:highlight w:val="none"/>
                <w:lang w:val="zh-CN" w:eastAsia="zh-CN" w:bidi="zh-CN"/>
              </w:rPr>
              <w:t>合理。</w:t>
            </w:r>
            <w:r>
              <w:rPr>
                <w:rFonts w:hint="eastAsia" w:ascii="宋体" w:hAnsi="宋体" w:eastAsia="宋体" w:cs="宋体"/>
                <w:sz w:val="20"/>
                <w:szCs w:val="20"/>
                <w:highlight w:val="none"/>
                <w:lang w:val="en-US" w:eastAsia="zh-CN" w:bidi="zh-CN"/>
              </w:rPr>
              <w:t>林</w:t>
            </w:r>
            <w:r>
              <w:rPr>
                <w:rFonts w:hint="eastAsia" w:ascii="宋体" w:hAnsi="宋体" w:eastAsia="宋体" w:cs="宋体"/>
                <w:sz w:val="20"/>
                <w:szCs w:val="20"/>
                <w:highlight w:val="none"/>
              </w:rPr>
              <w:t xml:space="preserve"> 冠线和林缘线基本</w:t>
            </w:r>
            <w:r>
              <w:rPr>
                <w:rFonts w:hint="eastAsia" w:ascii="宋体" w:hAnsi="宋体" w:eastAsia="宋体" w:cs="宋体"/>
                <w:sz w:val="20"/>
                <w:szCs w:val="20"/>
                <w:highlight w:val="none"/>
                <w:lang w:val="en-US" w:eastAsia="zh-CN"/>
              </w:rPr>
              <w:t>完整；</w:t>
            </w:r>
          </w:p>
          <w:p w14:paraId="6BB73D92">
            <w:pPr>
              <w:pStyle w:val="26"/>
              <w:spacing w:after="300" w:line="292" w:lineRule="exact"/>
              <w:rPr>
                <w:rFonts w:hint="eastAsia" w:ascii="宋体" w:hAnsi="宋体" w:eastAsia="宋体" w:cs="宋体"/>
                <w:sz w:val="20"/>
                <w:szCs w:val="20"/>
                <w:highlight w:val="none"/>
              </w:rPr>
            </w:pPr>
            <w:r>
              <w:rPr>
                <w:rFonts w:hint="eastAsia" w:ascii="宋体" w:hAnsi="宋体" w:eastAsia="宋体" w:cs="宋体"/>
                <w:sz w:val="20"/>
                <w:szCs w:val="20"/>
                <w:highlight w:val="none"/>
              </w:rPr>
              <w:t>（2）孤植树</w:t>
            </w:r>
            <w:r>
              <w:rPr>
                <w:rFonts w:hint="eastAsia" w:ascii="宋体" w:hAnsi="宋体" w:eastAsia="宋体" w:cs="宋体"/>
                <w:sz w:val="20"/>
                <w:szCs w:val="20"/>
                <w:highlight w:val="none"/>
                <w:lang w:val="en-US" w:eastAsia="zh-CN"/>
              </w:rPr>
              <w:t>树</w:t>
            </w:r>
            <w:r>
              <w:rPr>
                <w:rFonts w:hint="eastAsia" w:ascii="宋体" w:hAnsi="宋体" w:eastAsia="宋体" w:cs="宋体"/>
                <w:sz w:val="20"/>
                <w:szCs w:val="20"/>
                <w:highlight w:val="none"/>
              </w:rPr>
              <w:t>形基 本</w:t>
            </w:r>
            <w:r>
              <w:rPr>
                <w:rFonts w:hint="eastAsia" w:ascii="宋体" w:hAnsi="宋体" w:eastAsia="宋体" w:cs="宋体"/>
                <w:sz w:val="20"/>
                <w:szCs w:val="20"/>
                <w:highlight w:val="none"/>
                <w:lang w:val="zh-CN" w:eastAsia="zh-CN" w:bidi="zh-CN"/>
              </w:rPr>
              <w:t>完美，</w:t>
            </w:r>
            <w:r>
              <w:rPr>
                <w:rFonts w:hint="eastAsia" w:ascii="宋体" w:hAnsi="宋体" w:eastAsia="宋体" w:cs="宋体"/>
                <w:sz w:val="20"/>
                <w:szCs w:val="20"/>
                <w:highlight w:val="none"/>
              </w:rPr>
              <w:t>树冠基本</w:t>
            </w:r>
            <w:r>
              <w:rPr>
                <w:rFonts w:hint="eastAsia" w:ascii="宋体" w:hAnsi="宋体" w:eastAsia="宋体" w:cs="宋体"/>
                <w:sz w:val="20"/>
                <w:szCs w:val="20"/>
                <w:highlight w:val="none"/>
                <w:lang w:val="en-US" w:eastAsia="zh-CN"/>
              </w:rPr>
              <w:t>饱满</w:t>
            </w:r>
            <w:r>
              <w:rPr>
                <w:rFonts w:hint="eastAsia" w:ascii="宋体" w:hAnsi="宋体" w:eastAsia="宋体" w:cs="宋体"/>
                <w:sz w:val="20"/>
                <w:szCs w:val="20"/>
                <w:highlight w:val="none"/>
              </w:rPr>
              <w:t>；</w:t>
            </w:r>
          </w:p>
          <w:p w14:paraId="65C30CC4">
            <w:pPr>
              <w:pStyle w:val="26"/>
              <w:spacing w:line="312" w:lineRule="exac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3</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行道</w:t>
            </w:r>
            <w:r>
              <w:rPr>
                <w:rFonts w:hint="eastAsia" w:ascii="宋体" w:hAnsi="宋体" w:eastAsia="宋体" w:cs="宋体"/>
                <w:sz w:val="20"/>
                <w:szCs w:val="20"/>
                <w:highlight w:val="none"/>
                <w:lang w:val="en-US" w:eastAsia="zh-CN"/>
              </w:rPr>
              <w:t>树</w:t>
            </w:r>
            <w:r>
              <w:rPr>
                <w:rFonts w:hint="eastAsia" w:ascii="宋体" w:hAnsi="宋体" w:eastAsia="宋体" w:cs="宋体"/>
                <w:sz w:val="20"/>
                <w:szCs w:val="20"/>
                <w:highlight w:val="none"/>
              </w:rPr>
              <w:t>树冠基 本完整</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规格基本整齐</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无死树</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zh-CN" w:eastAsia="zh-CN" w:bidi="zh-CN"/>
              </w:rPr>
              <w:t>缺株</w:t>
            </w:r>
            <w:r>
              <w:rPr>
                <w:rFonts w:hint="eastAsia" w:ascii="宋体" w:hAnsi="宋体" w:eastAsia="宋体" w:cs="宋体"/>
                <w:sz w:val="20"/>
                <w:szCs w:val="20"/>
                <w:highlight w:val="none"/>
                <w:lang w:val="en-US" w:eastAsia="zh-CN" w:bidi="zh-CN"/>
              </w:rPr>
              <w:t>≤</w:t>
            </w:r>
            <w:r>
              <w:rPr>
                <w:rFonts w:hint="eastAsia" w:ascii="宋体" w:hAnsi="宋体" w:eastAsia="宋体" w:cs="宋体"/>
                <w:sz w:val="20"/>
                <w:szCs w:val="20"/>
                <w:highlight w:val="none"/>
              </w:rPr>
              <w:t>5%</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树</w:t>
            </w:r>
            <w:r>
              <w:rPr>
                <w:rFonts w:hint="eastAsia" w:ascii="宋体" w:hAnsi="宋体" w:eastAsia="宋体" w:cs="宋体"/>
                <w:sz w:val="20"/>
                <w:szCs w:val="20"/>
                <w:highlight w:val="none"/>
                <w:lang w:val="en-US" w:eastAsia="zh-CN" w:bidi="zh-CN"/>
              </w:rPr>
              <w:t>干</w:t>
            </w:r>
            <w:r>
              <w:rPr>
                <w:rFonts w:hint="eastAsia" w:ascii="宋体" w:hAnsi="宋体" w:eastAsia="宋体" w:cs="宋体"/>
                <w:sz w:val="20"/>
                <w:szCs w:val="20"/>
                <w:highlight w:val="none"/>
                <w:lang w:val="zh-CN" w:eastAsia="zh-CN" w:bidi="zh-CN"/>
              </w:rPr>
              <w:t>基本</w:t>
            </w:r>
            <w:r>
              <w:rPr>
                <w:rFonts w:hint="eastAsia" w:ascii="宋体" w:hAnsi="宋体" w:eastAsia="宋体" w:cs="宋体"/>
                <w:sz w:val="20"/>
                <w:szCs w:val="20"/>
                <w:highlight w:val="none"/>
              </w:rPr>
              <w:t>挺直：</w:t>
            </w:r>
          </w:p>
          <w:p w14:paraId="2560D0ED">
            <w:pPr>
              <w:pStyle w:val="26"/>
              <w:spacing w:line="305" w:lineRule="exac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）绿</w:t>
            </w:r>
            <w:r>
              <w:rPr>
                <w:rFonts w:hint="eastAsia" w:ascii="宋体" w:hAnsi="宋体" w:eastAsia="宋体" w:cs="宋体"/>
                <w:sz w:val="20"/>
                <w:szCs w:val="20"/>
                <w:highlight w:val="none"/>
                <w:lang w:val="en-US" w:eastAsia="zh-CN"/>
              </w:rPr>
              <w:t>篱</w:t>
            </w:r>
            <w:r>
              <w:rPr>
                <w:rFonts w:hint="eastAsia" w:ascii="宋体" w:hAnsi="宋体" w:eastAsia="宋体" w:cs="宋体"/>
                <w:sz w:val="20"/>
                <w:szCs w:val="20"/>
                <w:highlight w:val="none"/>
              </w:rPr>
              <w:t>基本无缺 株</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修</w:t>
            </w:r>
            <w:r>
              <w:rPr>
                <w:rFonts w:hint="eastAsia" w:ascii="宋体" w:hAnsi="宋体" w:eastAsia="宋体" w:cs="宋体"/>
                <w:sz w:val="20"/>
                <w:szCs w:val="20"/>
                <w:highlight w:val="none"/>
                <w:lang w:val="en-US" w:eastAsia="zh-CN"/>
              </w:rPr>
              <w:t>剪</w:t>
            </w:r>
            <w:r>
              <w:rPr>
                <w:rFonts w:hint="eastAsia" w:ascii="宋体" w:hAnsi="宋体" w:eastAsia="宋体" w:cs="宋体"/>
                <w:sz w:val="20"/>
                <w:szCs w:val="20"/>
                <w:highlight w:val="none"/>
              </w:rPr>
              <w:t>面</w:t>
            </w:r>
            <w:r>
              <w:rPr>
                <w:rFonts w:hint="eastAsia" w:ascii="宋体" w:hAnsi="宋体" w:eastAsia="宋体" w:cs="宋体"/>
                <w:sz w:val="20"/>
                <w:szCs w:val="20"/>
                <w:highlight w:val="none"/>
                <w:lang w:val="en-US" w:eastAsia="zh-CN"/>
              </w:rPr>
              <w:t>平</w:t>
            </w:r>
            <w:r>
              <w:rPr>
                <w:rFonts w:hint="eastAsia" w:ascii="宋体" w:hAnsi="宋体" w:eastAsia="宋体" w:cs="宋体"/>
                <w:sz w:val="20"/>
                <w:szCs w:val="20"/>
                <w:highlight w:val="none"/>
              </w:rPr>
              <w:t>整</w:t>
            </w:r>
            <w:r>
              <w:rPr>
                <w:rFonts w:hint="eastAsia" w:ascii="宋体" w:hAnsi="宋体" w:eastAsia="宋体" w:cs="宋体"/>
                <w:sz w:val="20"/>
                <w:szCs w:val="20"/>
                <w:highlight w:val="none"/>
                <w:lang w:val="en-US" w:eastAsia="zh-CN"/>
              </w:rPr>
              <w:t>饱满，直</w:t>
            </w:r>
            <w:r>
              <w:rPr>
                <w:rFonts w:hint="eastAsia" w:ascii="宋体" w:hAnsi="宋体" w:eastAsia="宋体" w:cs="宋体"/>
                <w:sz w:val="20"/>
                <w:szCs w:val="20"/>
                <w:highlight w:val="none"/>
              </w:rPr>
              <w:t>线</w:t>
            </w:r>
            <w:r>
              <w:rPr>
                <w:rFonts w:hint="eastAsia" w:ascii="宋体" w:hAnsi="宋体" w:eastAsia="宋体" w:cs="宋体"/>
                <w:sz w:val="20"/>
                <w:szCs w:val="20"/>
                <w:highlight w:val="none"/>
                <w:lang w:val="zh-CN" w:eastAsia="zh-CN" w:bidi="zh-CN"/>
              </w:rPr>
              <w:t>处平直</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曲 线处弧度</w:t>
            </w:r>
            <w:r>
              <w:rPr>
                <w:rFonts w:hint="eastAsia" w:ascii="宋体" w:hAnsi="宋体" w:eastAsia="宋体" w:cs="宋体"/>
                <w:sz w:val="20"/>
                <w:szCs w:val="20"/>
                <w:highlight w:val="none"/>
                <w:lang w:val="en-US" w:eastAsia="zh-CN"/>
              </w:rPr>
              <w:t>圆润</w:t>
            </w:r>
          </w:p>
        </w:tc>
        <w:tc>
          <w:tcPr>
            <w:tcW w:w="2400" w:type="dxa"/>
            <w:tcBorders>
              <w:top w:val="single" w:color="auto" w:sz="4" w:space="0"/>
              <w:left w:val="single" w:color="auto" w:sz="4" w:space="0"/>
              <w:right w:val="single" w:color="auto" w:sz="4" w:space="0"/>
            </w:tcBorders>
            <w:shd w:val="clear" w:color="auto" w:fill="FFFFFF"/>
            <w:noWrap w:val="0"/>
            <w:vAlign w:val="center"/>
          </w:tcPr>
          <w:p w14:paraId="7AAAB723">
            <w:pPr>
              <w:pStyle w:val="26"/>
              <w:spacing w:line="307" w:lineRule="exac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（1）树林、树丛</w:t>
            </w:r>
            <w:r>
              <w:rPr>
                <w:rFonts w:hint="eastAsia" w:ascii="宋体" w:hAnsi="宋体" w:eastAsia="宋体" w:cs="宋体"/>
                <w:sz w:val="20"/>
                <w:szCs w:val="20"/>
                <w:highlight w:val="none"/>
                <w:lang w:val="en-US" w:eastAsia="zh-CN"/>
              </w:rPr>
              <w:t>具</w:t>
            </w:r>
            <w:r>
              <w:rPr>
                <w:rFonts w:hint="eastAsia" w:ascii="宋体" w:hAnsi="宋体" w:eastAsia="宋体" w:cs="宋体"/>
                <w:sz w:val="20"/>
                <w:szCs w:val="20"/>
                <w:highlight w:val="none"/>
              </w:rPr>
              <w:t>有基本完整的</w:t>
            </w:r>
            <w:r>
              <w:rPr>
                <w:rFonts w:hint="eastAsia" w:ascii="宋体" w:hAnsi="宋体" w:eastAsia="宋体" w:cs="宋体"/>
                <w:sz w:val="20"/>
                <w:szCs w:val="20"/>
                <w:highlight w:val="none"/>
                <w:lang w:val="zh-CN" w:eastAsia="zh-CN" w:bidi="zh-CN"/>
              </w:rPr>
              <w:t xml:space="preserve">外貌， </w:t>
            </w:r>
            <w:r>
              <w:rPr>
                <w:rFonts w:hint="eastAsia" w:ascii="宋体" w:hAnsi="宋体" w:eastAsia="宋体" w:cs="宋体"/>
                <w:sz w:val="20"/>
                <w:szCs w:val="20"/>
                <w:highlight w:val="none"/>
              </w:rPr>
              <w:t>有-定的群落结构</w:t>
            </w:r>
            <w:r>
              <w:rPr>
                <w:rFonts w:hint="eastAsia" w:ascii="宋体" w:hAnsi="宋体" w:eastAsia="宋体" w:cs="宋体"/>
                <w:sz w:val="20"/>
                <w:szCs w:val="20"/>
                <w:highlight w:val="none"/>
                <w:lang w:eastAsia="zh-CN"/>
              </w:rPr>
              <w:t>；</w:t>
            </w:r>
          </w:p>
          <w:p w14:paraId="3E5CEC3E">
            <w:pPr>
              <w:pStyle w:val="26"/>
              <w:spacing w:line="313" w:lineRule="exac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2）孤植树树形基本</w:t>
            </w:r>
            <w:r>
              <w:rPr>
                <w:rFonts w:hint="eastAsia" w:ascii="宋体" w:hAnsi="宋体" w:eastAsia="宋体" w:cs="宋体"/>
                <w:sz w:val="20"/>
                <w:szCs w:val="20"/>
                <w:highlight w:val="none"/>
                <w:lang w:val="en-US" w:eastAsia="zh-CN" w:bidi="zh-CN"/>
              </w:rPr>
              <w:t>完美</w:t>
            </w:r>
            <w:r>
              <w:rPr>
                <w:rFonts w:hint="eastAsia" w:ascii="宋体" w:hAnsi="宋体" w:eastAsia="宋体" w:cs="宋体"/>
                <w:sz w:val="20"/>
                <w:szCs w:val="20"/>
                <w:highlight w:val="none"/>
                <w:lang w:val="zh-CN" w:eastAsia="zh-CN" w:bidi="zh-CN"/>
              </w:rPr>
              <w:t>，</w:t>
            </w:r>
            <w:r>
              <w:rPr>
                <w:rFonts w:hint="eastAsia" w:ascii="宋体" w:hAnsi="宋体" w:eastAsia="宋体" w:cs="宋体"/>
                <w:sz w:val="20"/>
                <w:szCs w:val="20"/>
                <w:highlight w:val="none"/>
              </w:rPr>
              <w:t>树冠基本</w:t>
            </w:r>
            <w:r>
              <w:rPr>
                <w:rFonts w:hint="eastAsia" w:ascii="宋体" w:hAnsi="宋体" w:eastAsia="宋体" w:cs="宋体"/>
                <w:sz w:val="20"/>
                <w:szCs w:val="20"/>
                <w:highlight w:val="none"/>
                <w:lang w:val="en-US" w:eastAsia="zh-CN"/>
              </w:rPr>
              <w:t>饱满；</w:t>
            </w:r>
          </w:p>
          <w:p w14:paraId="74067D8C">
            <w:pPr>
              <w:pStyle w:val="26"/>
              <w:spacing w:line="313" w:lineRule="exact"/>
              <w:rPr>
                <w:rFonts w:hint="eastAsia" w:ascii="宋体" w:hAnsi="宋体" w:eastAsia="宋体" w:cs="宋体"/>
                <w:sz w:val="20"/>
                <w:szCs w:val="20"/>
                <w:highlight w:val="none"/>
              </w:rPr>
            </w:pPr>
            <w:r>
              <w:rPr>
                <w:rFonts w:hint="eastAsia" w:ascii="宋体" w:hAnsi="宋体" w:eastAsia="宋体" w:cs="宋体"/>
                <w:sz w:val="20"/>
                <w:szCs w:val="20"/>
                <w:highlight w:val="none"/>
              </w:rPr>
              <w:t>（3）行道树无</w:t>
            </w:r>
            <w:r>
              <w:rPr>
                <w:rFonts w:hint="eastAsia" w:ascii="宋体" w:hAnsi="宋体" w:eastAsia="宋体" w:cs="宋体"/>
                <w:sz w:val="20"/>
                <w:szCs w:val="20"/>
                <w:highlight w:val="none"/>
                <w:lang w:val="zh-CN" w:eastAsia="zh-CN" w:bidi="zh-CN"/>
              </w:rPr>
              <w:t xml:space="preserve">死树， </w:t>
            </w:r>
            <w:r>
              <w:rPr>
                <w:rFonts w:hint="eastAsia" w:ascii="宋体" w:hAnsi="宋体" w:eastAsia="宋体" w:cs="宋体"/>
                <w:sz w:val="20"/>
                <w:szCs w:val="20"/>
                <w:highlight w:val="none"/>
              </w:rPr>
              <w:t>缺株</w:t>
            </w: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8%</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树冠基本</w:t>
            </w:r>
            <w:r>
              <w:rPr>
                <w:rFonts w:hint="eastAsia" w:ascii="宋体" w:hAnsi="宋体" w:eastAsia="宋体" w:cs="宋体"/>
                <w:sz w:val="20"/>
                <w:szCs w:val="20"/>
                <w:highlight w:val="none"/>
                <w:lang w:val="en-US" w:eastAsia="zh-CN"/>
              </w:rPr>
              <w:t>统一，</w:t>
            </w:r>
            <w:r>
              <w:rPr>
                <w:rFonts w:hint="eastAsia" w:ascii="宋体" w:hAnsi="宋体" w:eastAsia="宋体" w:cs="宋体"/>
                <w:sz w:val="20"/>
                <w:szCs w:val="20"/>
                <w:highlight w:val="none"/>
              </w:rPr>
              <w:t>树</w:t>
            </w:r>
            <w:r>
              <w:rPr>
                <w:rFonts w:hint="eastAsia" w:ascii="宋体" w:hAnsi="宋体" w:eastAsia="宋体" w:cs="宋体"/>
                <w:sz w:val="20"/>
                <w:szCs w:val="20"/>
                <w:highlight w:val="none"/>
                <w:lang w:val="en-US" w:eastAsia="zh-CN"/>
              </w:rPr>
              <w:t>干</w:t>
            </w:r>
            <w:r>
              <w:rPr>
                <w:rFonts w:hint="eastAsia" w:ascii="宋体" w:hAnsi="宋体" w:eastAsia="宋体" w:cs="宋体"/>
                <w:sz w:val="20"/>
                <w:szCs w:val="20"/>
                <w:highlight w:val="none"/>
              </w:rPr>
              <w:t>基本挺直；</w:t>
            </w:r>
          </w:p>
          <w:p w14:paraId="5683D446">
            <w:pPr>
              <w:pStyle w:val="26"/>
              <w:spacing w:line="313" w:lineRule="exact"/>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bidi="en-US"/>
              </w:rPr>
              <w:t>(4)</w:t>
            </w:r>
            <w:r>
              <w:rPr>
                <w:rFonts w:hint="eastAsia" w:ascii="宋体" w:hAnsi="宋体" w:eastAsia="宋体" w:cs="宋体"/>
                <w:sz w:val="20"/>
                <w:szCs w:val="20"/>
                <w:highlight w:val="none"/>
              </w:rPr>
              <w:t>绿</w:t>
            </w:r>
            <w:r>
              <w:rPr>
                <w:rFonts w:hint="eastAsia" w:ascii="宋体" w:hAnsi="宋体" w:eastAsia="宋体" w:cs="宋体"/>
                <w:sz w:val="20"/>
                <w:szCs w:val="20"/>
                <w:highlight w:val="none"/>
                <w:lang w:val="en-US" w:eastAsia="zh-CN"/>
              </w:rPr>
              <w:t>篱</w:t>
            </w:r>
            <w:r>
              <w:rPr>
                <w:rFonts w:hint="eastAsia" w:ascii="宋体" w:hAnsi="宋体" w:eastAsia="宋体" w:cs="宋体"/>
                <w:sz w:val="20"/>
                <w:szCs w:val="20"/>
                <w:highlight w:val="none"/>
              </w:rPr>
              <w:t>基本无缺</w:t>
            </w:r>
            <w:r>
              <w:rPr>
                <w:rFonts w:hint="eastAsia" w:ascii="宋体" w:hAnsi="宋体" w:eastAsia="宋体" w:cs="宋体"/>
                <w:sz w:val="20"/>
                <w:szCs w:val="20"/>
                <w:highlight w:val="none"/>
                <w:lang w:val="en-US" w:eastAsia="zh-CN"/>
              </w:rPr>
              <w:t>株，</w:t>
            </w:r>
            <w:r>
              <w:rPr>
                <w:rFonts w:hint="eastAsia" w:ascii="宋体" w:hAnsi="宋体" w:eastAsia="宋体" w:cs="宋体"/>
                <w:sz w:val="20"/>
                <w:szCs w:val="20"/>
                <w:highlight w:val="none"/>
              </w:rPr>
              <w:t>修剪</w:t>
            </w:r>
            <w:r>
              <w:rPr>
                <w:rFonts w:hint="eastAsia" w:ascii="宋体" w:hAnsi="宋体" w:eastAsia="宋体" w:cs="宋体"/>
                <w:sz w:val="20"/>
                <w:szCs w:val="20"/>
                <w:highlight w:val="none"/>
                <w:lang w:val="en-US" w:eastAsia="zh-CN"/>
              </w:rPr>
              <w:t>面</w:t>
            </w:r>
            <w:r>
              <w:rPr>
                <w:rFonts w:hint="eastAsia" w:ascii="宋体" w:hAnsi="宋体" w:eastAsia="宋体" w:cs="宋体"/>
                <w:sz w:val="20"/>
                <w:szCs w:val="20"/>
                <w:highlight w:val="none"/>
              </w:rPr>
              <w:t>平整胞满， 直线处</w:t>
            </w:r>
            <w:r>
              <w:rPr>
                <w:rFonts w:hint="eastAsia" w:ascii="宋体" w:hAnsi="宋体" w:eastAsia="宋体" w:cs="宋体"/>
                <w:sz w:val="20"/>
                <w:szCs w:val="20"/>
                <w:highlight w:val="none"/>
                <w:lang w:val="zh-CN" w:eastAsia="zh-CN" w:bidi="zh-CN"/>
              </w:rPr>
              <w:t>平直，</w:t>
            </w:r>
            <w:r>
              <w:rPr>
                <w:rFonts w:hint="eastAsia" w:ascii="宋体" w:hAnsi="宋体" w:eastAsia="宋体" w:cs="宋体"/>
                <w:sz w:val="20"/>
                <w:szCs w:val="20"/>
                <w:highlight w:val="none"/>
              </w:rPr>
              <w:t>曲线处</w:t>
            </w:r>
            <w:r>
              <w:rPr>
                <w:rFonts w:hint="eastAsia" w:ascii="宋体" w:hAnsi="宋体" w:eastAsia="宋体" w:cs="宋体"/>
                <w:sz w:val="20"/>
                <w:szCs w:val="20"/>
                <w:highlight w:val="none"/>
                <w:lang w:val="en-US" w:eastAsia="zh-CN"/>
              </w:rPr>
              <w:t>弧度圆润</w:t>
            </w:r>
          </w:p>
        </w:tc>
      </w:tr>
      <w:tr w14:paraId="43C993E0">
        <w:tblPrEx>
          <w:tblCellMar>
            <w:top w:w="0" w:type="dxa"/>
            <w:left w:w="10" w:type="dxa"/>
            <w:bottom w:w="0" w:type="dxa"/>
            <w:right w:w="10" w:type="dxa"/>
          </w:tblCellMar>
        </w:tblPrEx>
        <w:trPr>
          <w:trHeight w:val="1670" w:hRule="exact"/>
          <w:jc w:val="center"/>
        </w:trPr>
        <w:tc>
          <w:tcPr>
            <w:tcW w:w="682" w:type="dxa"/>
            <w:tcBorders>
              <w:top w:val="single" w:color="auto" w:sz="4" w:space="0"/>
              <w:left w:val="single" w:color="auto" w:sz="4" w:space="0"/>
            </w:tcBorders>
            <w:shd w:val="clear" w:color="auto" w:fill="FFFFFF"/>
            <w:noWrap w:val="0"/>
            <w:vAlign w:val="center"/>
          </w:tcPr>
          <w:p w14:paraId="38172DB5">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2</w:t>
            </w:r>
          </w:p>
        </w:tc>
        <w:tc>
          <w:tcPr>
            <w:tcW w:w="1050" w:type="dxa"/>
            <w:tcBorders>
              <w:top w:val="single" w:color="auto" w:sz="4" w:space="0"/>
              <w:left w:val="single" w:color="auto" w:sz="4" w:space="0"/>
            </w:tcBorders>
            <w:shd w:val="clear" w:color="auto" w:fill="FFFFFF"/>
            <w:noWrap w:val="0"/>
            <w:vAlign w:val="center"/>
          </w:tcPr>
          <w:p w14:paraId="6E1765AD">
            <w:pPr>
              <w:pStyle w:val="26"/>
              <w:spacing w:line="240" w:lineRule="auto"/>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生长势</w:t>
            </w:r>
          </w:p>
        </w:tc>
        <w:tc>
          <w:tcPr>
            <w:tcW w:w="2000" w:type="dxa"/>
            <w:tcBorders>
              <w:top w:val="single" w:color="auto" w:sz="4" w:space="0"/>
              <w:left w:val="single" w:color="auto" w:sz="4" w:space="0"/>
            </w:tcBorders>
            <w:shd w:val="clear" w:color="auto" w:fill="FFFFFF"/>
            <w:noWrap w:val="0"/>
            <w:vAlign w:val="center"/>
          </w:tcPr>
          <w:p w14:paraId="2CEB7CFD">
            <w:pPr>
              <w:pStyle w:val="26"/>
              <w:spacing w:line="305" w:lineRule="exact"/>
              <w:ind w:firstLine="260"/>
              <w:rPr>
                <w:rFonts w:hint="eastAsia" w:ascii="宋体" w:hAnsi="宋体" w:eastAsia="宋体" w:cs="宋体"/>
                <w:sz w:val="20"/>
                <w:szCs w:val="20"/>
                <w:highlight w:val="none"/>
              </w:rPr>
            </w:pPr>
            <w:r>
              <w:rPr>
                <w:rFonts w:hint="eastAsia" w:ascii="宋体" w:hAnsi="宋体" w:eastAsia="宋体" w:cs="宋体"/>
                <w:sz w:val="20"/>
                <w:szCs w:val="20"/>
                <w:highlight w:val="none"/>
              </w:rPr>
              <w:t>技叶长茂盛</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观花，</w:t>
            </w:r>
            <w:r>
              <w:rPr>
                <w:rFonts w:hint="eastAsia" w:ascii="宋体" w:hAnsi="宋体" w:eastAsia="宋体" w:cs="宋体"/>
                <w:sz w:val="20"/>
                <w:szCs w:val="20"/>
                <w:highlight w:val="none"/>
                <w:lang w:val="en-US" w:eastAsia="zh-CN"/>
              </w:rPr>
              <w:t>观</w:t>
            </w:r>
            <w:r>
              <w:rPr>
                <w:rFonts w:hint="eastAsia" w:ascii="宋体" w:hAnsi="宋体" w:eastAsia="宋体" w:cs="宋体"/>
                <w:sz w:val="20"/>
                <w:szCs w:val="20"/>
                <w:highlight w:val="none"/>
              </w:rPr>
              <w:t>果树种正常</w:t>
            </w:r>
            <w:r>
              <w:rPr>
                <w:rFonts w:hint="eastAsia" w:ascii="宋体" w:hAnsi="宋体" w:eastAsia="宋体" w:cs="宋体"/>
                <w:sz w:val="20"/>
                <w:szCs w:val="20"/>
                <w:highlight w:val="none"/>
                <w:lang w:val="en-US" w:eastAsia="zh-CN"/>
              </w:rPr>
              <w:t>开</w:t>
            </w:r>
            <w:r>
              <w:rPr>
                <w:rFonts w:hint="eastAsia" w:ascii="宋体" w:hAnsi="宋体" w:eastAsia="宋体" w:cs="宋体"/>
                <w:sz w:val="20"/>
                <w:szCs w:val="20"/>
                <w:highlight w:val="none"/>
              </w:rPr>
              <w:t>花结果</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彩色树种季相特征</w:t>
            </w:r>
            <w:r>
              <w:rPr>
                <w:rFonts w:hint="eastAsia" w:ascii="宋体" w:hAnsi="宋体" w:eastAsia="宋体" w:cs="宋体"/>
                <w:sz w:val="20"/>
                <w:szCs w:val="20"/>
                <w:highlight w:val="none"/>
                <w:lang w:val="zh-CN" w:eastAsia="zh-CN" w:bidi="zh-CN"/>
              </w:rPr>
              <w:t>明显，</w:t>
            </w:r>
            <w:r>
              <w:rPr>
                <w:rFonts w:hint="eastAsia" w:ascii="宋体" w:hAnsi="宋体" w:eastAsia="宋体" w:cs="宋体"/>
                <w:sz w:val="20"/>
                <w:szCs w:val="20"/>
                <w:highlight w:val="none"/>
              </w:rPr>
              <w:t>无枯技</w:t>
            </w:r>
          </w:p>
        </w:tc>
        <w:tc>
          <w:tcPr>
            <w:tcW w:w="2393" w:type="dxa"/>
            <w:tcBorders>
              <w:top w:val="single" w:color="auto" w:sz="4" w:space="0"/>
              <w:left w:val="single" w:color="auto" w:sz="4" w:space="0"/>
            </w:tcBorders>
            <w:shd w:val="clear" w:color="auto" w:fill="FFFFFF"/>
            <w:noWrap w:val="0"/>
            <w:vAlign w:val="center"/>
          </w:tcPr>
          <w:p w14:paraId="09198882">
            <w:pPr>
              <w:pStyle w:val="26"/>
              <w:spacing w:line="307" w:lineRule="exact"/>
              <w:ind w:firstLine="260"/>
              <w:rPr>
                <w:rFonts w:hint="eastAsia" w:ascii="宋体" w:hAnsi="宋体" w:eastAsia="宋体" w:cs="宋体"/>
                <w:sz w:val="20"/>
                <w:szCs w:val="20"/>
                <w:highlight w:val="none"/>
              </w:rPr>
            </w:pPr>
            <w:r>
              <w:rPr>
                <w:rFonts w:hint="eastAsia" w:ascii="宋体" w:hAnsi="宋体" w:eastAsia="宋体" w:cs="宋体"/>
                <w:sz w:val="20"/>
                <w:szCs w:val="20"/>
                <w:highlight w:val="none"/>
              </w:rPr>
              <w:t>枝叶生长正常</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lang w:val="en-US" w:eastAsia="zh-CN"/>
              </w:rPr>
              <w:t>观花、</w:t>
            </w:r>
            <w:r>
              <w:rPr>
                <w:rFonts w:hint="eastAsia" w:ascii="宋体" w:hAnsi="宋体" w:eastAsia="宋体" w:cs="宋体"/>
                <w:sz w:val="20"/>
                <w:szCs w:val="20"/>
                <w:highlight w:val="none"/>
              </w:rPr>
              <w:t>观果</w:t>
            </w:r>
            <w:r>
              <w:rPr>
                <w:rFonts w:hint="eastAsia" w:ascii="宋体" w:hAnsi="宋体" w:eastAsia="宋体" w:cs="宋体"/>
                <w:sz w:val="20"/>
                <w:szCs w:val="20"/>
                <w:highlight w:val="none"/>
                <w:lang w:val="en-US" w:eastAsia="zh-CN"/>
              </w:rPr>
              <w:t>树正</w:t>
            </w:r>
            <w:r>
              <w:rPr>
                <w:rFonts w:hint="eastAsia" w:ascii="宋体" w:hAnsi="宋体" w:eastAsia="宋体" w:cs="宋体"/>
                <w:sz w:val="20"/>
                <w:szCs w:val="20"/>
                <w:highlight w:val="none"/>
              </w:rPr>
              <w:t>常开花结果</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无明显枯枝</w:t>
            </w:r>
          </w:p>
        </w:tc>
        <w:tc>
          <w:tcPr>
            <w:tcW w:w="2400" w:type="dxa"/>
            <w:tcBorders>
              <w:top w:val="single" w:color="auto" w:sz="4" w:space="0"/>
              <w:left w:val="single" w:color="auto" w:sz="4" w:space="0"/>
              <w:right w:val="single" w:color="auto" w:sz="4" w:space="0"/>
            </w:tcBorders>
            <w:shd w:val="clear" w:color="auto" w:fill="FFFFFF"/>
            <w:noWrap w:val="0"/>
            <w:vAlign w:val="center"/>
          </w:tcPr>
          <w:p w14:paraId="43DB81AF">
            <w:pPr>
              <w:pStyle w:val="26"/>
              <w:spacing w:line="305" w:lineRule="exact"/>
              <w:ind w:firstLine="260"/>
              <w:rPr>
                <w:rFonts w:hint="eastAsia" w:ascii="宋体" w:hAnsi="宋体" w:eastAsia="宋体" w:cs="宋体"/>
                <w:sz w:val="20"/>
                <w:szCs w:val="20"/>
                <w:highlight w:val="none"/>
              </w:rPr>
            </w:pPr>
            <w:r>
              <w:rPr>
                <w:rFonts w:hint="eastAsia" w:ascii="宋体" w:hAnsi="宋体" w:eastAsia="宋体" w:cs="宋体"/>
                <w:sz w:val="20"/>
                <w:szCs w:val="20"/>
                <w:highlight w:val="none"/>
              </w:rPr>
              <w:t>植株生长</w:t>
            </w:r>
            <w:r>
              <w:rPr>
                <w:rFonts w:hint="eastAsia" w:ascii="宋体" w:hAnsi="宋体" w:eastAsia="宋体" w:cs="宋体"/>
                <w:sz w:val="20"/>
                <w:szCs w:val="20"/>
                <w:highlight w:val="none"/>
                <w:lang w:val="en-US" w:eastAsia="zh-CN" w:bidi="en-US"/>
              </w:rPr>
              <w:t>量</w:t>
            </w:r>
            <w:r>
              <w:rPr>
                <w:rFonts w:hint="eastAsia" w:ascii="宋体" w:hAnsi="宋体" w:eastAsia="宋体" w:cs="宋体"/>
                <w:sz w:val="20"/>
                <w:szCs w:val="20"/>
                <w:highlight w:val="none"/>
              </w:rPr>
              <w:t>和色泽基</w:t>
            </w:r>
            <w:r>
              <w:rPr>
                <w:rFonts w:hint="eastAsia" w:ascii="宋体" w:hAnsi="宋体" w:eastAsia="宋体" w:cs="宋体"/>
                <w:sz w:val="20"/>
                <w:szCs w:val="20"/>
                <w:highlight w:val="none"/>
                <w:lang w:val="en-US" w:eastAsia="zh-CN"/>
              </w:rPr>
              <w:t>本</w:t>
            </w:r>
            <w:r>
              <w:rPr>
                <w:rFonts w:hint="eastAsia" w:ascii="宋体" w:hAnsi="宋体" w:eastAsia="宋体" w:cs="宋体"/>
                <w:sz w:val="20"/>
                <w:szCs w:val="20"/>
                <w:highlight w:val="none"/>
              </w:rPr>
              <w:t>正常</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观花、</w:t>
            </w:r>
            <w:r>
              <w:rPr>
                <w:rFonts w:hint="eastAsia" w:ascii="宋体" w:hAnsi="宋体" w:eastAsia="宋体" w:cs="宋体"/>
                <w:sz w:val="20"/>
                <w:szCs w:val="20"/>
                <w:highlight w:val="none"/>
                <w:lang w:val="en-US" w:eastAsia="zh-CN"/>
              </w:rPr>
              <w:t>观</w:t>
            </w:r>
            <w:r>
              <w:rPr>
                <w:rFonts w:hint="eastAsia" w:ascii="宋体" w:hAnsi="宋体" w:eastAsia="宋体" w:cs="宋体"/>
                <w:sz w:val="20"/>
                <w:szCs w:val="20"/>
                <w:highlight w:val="none"/>
              </w:rPr>
              <w:t xml:space="preserve"> 果</w:t>
            </w:r>
            <w:r>
              <w:rPr>
                <w:rFonts w:hint="eastAsia" w:ascii="宋体" w:hAnsi="宋体" w:eastAsia="宋体" w:cs="宋体"/>
                <w:sz w:val="20"/>
                <w:szCs w:val="20"/>
                <w:highlight w:val="none"/>
                <w:lang w:val="en-US" w:eastAsia="zh-CN"/>
              </w:rPr>
              <w:t>树种</w:t>
            </w:r>
            <w:r>
              <w:rPr>
                <w:rFonts w:hint="eastAsia" w:ascii="宋体" w:hAnsi="宋体" w:eastAsia="宋体" w:cs="宋体"/>
                <w:sz w:val="20"/>
                <w:szCs w:val="20"/>
                <w:highlight w:val="none"/>
              </w:rPr>
              <w:t>基本正</w:t>
            </w:r>
            <w:r>
              <w:rPr>
                <w:rFonts w:hint="eastAsia" w:ascii="宋体" w:hAnsi="宋体" w:eastAsia="宋体" w:cs="宋体"/>
                <w:sz w:val="20"/>
                <w:szCs w:val="20"/>
                <w:highlight w:val="none"/>
                <w:lang w:val="zh-CN" w:eastAsia="zh-CN" w:bidi="zh-CN"/>
              </w:rPr>
              <w:t>常开花结果，</w:t>
            </w:r>
            <w:r>
              <w:rPr>
                <w:rFonts w:hint="eastAsia" w:ascii="宋体" w:hAnsi="宋体" w:eastAsia="宋体" w:cs="宋体"/>
                <w:sz w:val="20"/>
                <w:szCs w:val="20"/>
                <w:highlight w:val="none"/>
              </w:rPr>
              <w:t>无大型枯枝</w:t>
            </w:r>
          </w:p>
        </w:tc>
      </w:tr>
      <w:tr w14:paraId="4D55DDBB">
        <w:tblPrEx>
          <w:tblCellMar>
            <w:top w:w="0" w:type="dxa"/>
            <w:left w:w="10" w:type="dxa"/>
            <w:bottom w:w="0" w:type="dxa"/>
            <w:right w:w="10" w:type="dxa"/>
          </w:tblCellMar>
        </w:tblPrEx>
        <w:trPr>
          <w:trHeight w:val="1590" w:hRule="exact"/>
          <w:jc w:val="center"/>
        </w:trPr>
        <w:tc>
          <w:tcPr>
            <w:tcW w:w="682" w:type="dxa"/>
            <w:tcBorders>
              <w:top w:val="single" w:color="auto" w:sz="4" w:space="0"/>
              <w:left w:val="single" w:color="auto" w:sz="4" w:space="0"/>
              <w:bottom w:val="single" w:color="auto" w:sz="4" w:space="0"/>
            </w:tcBorders>
            <w:shd w:val="clear" w:color="auto" w:fill="FFFFFF"/>
            <w:noWrap w:val="0"/>
            <w:vAlign w:val="center"/>
          </w:tcPr>
          <w:p w14:paraId="3326A34C">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3</w:t>
            </w:r>
          </w:p>
        </w:tc>
        <w:tc>
          <w:tcPr>
            <w:tcW w:w="1050" w:type="dxa"/>
            <w:tcBorders>
              <w:top w:val="single" w:color="auto" w:sz="4" w:space="0"/>
              <w:left w:val="single" w:color="auto" w:sz="4" w:space="0"/>
              <w:bottom w:val="single" w:color="auto" w:sz="4" w:space="0"/>
            </w:tcBorders>
            <w:shd w:val="clear" w:color="auto" w:fill="FFFFFF"/>
            <w:noWrap w:val="0"/>
            <w:vAlign w:val="center"/>
          </w:tcPr>
          <w:p w14:paraId="5F8C7ABB">
            <w:pPr>
              <w:pStyle w:val="26"/>
              <w:spacing w:line="240" w:lineRule="auto"/>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排</w:t>
            </w:r>
            <w:r>
              <w:rPr>
                <w:rFonts w:hint="eastAsia" w:ascii="宋体" w:hAnsi="宋体" w:eastAsia="宋体" w:cs="宋体"/>
                <w:sz w:val="20"/>
                <w:szCs w:val="20"/>
                <w:highlight w:val="none"/>
                <w:lang w:val="en-US" w:eastAsia="zh-CN"/>
              </w:rPr>
              <w:t>灌</w:t>
            </w:r>
          </w:p>
        </w:tc>
        <w:tc>
          <w:tcPr>
            <w:tcW w:w="2000" w:type="dxa"/>
            <w:tcBorders>
              <w:top w:val="single" w:color="auto" w:sz="4" w:space="0"/>
              <w:left w:val="single" w:color="auto" w:sz="4" w:space="0"/>
              <w:bottom w:val="single" w:color="auto" w:sz="4" w:space="0"/>
            </w:tcBorders>
            <w:shd w:val="clear" w:color="auto" w:fill="FFFFFF"/>
            <w:noWrap w:val="0"/>
            <w:vAlign w:val="center"/>
          </w:tcPr>
          <w:p w14:paraId="4FC84FA3">
            <w:pPr>
              <w:pStyle w:val="26"/>
              <w:spacing w:line="315" w:lineRule="exact"/>
              <w:ind w:firstLine="260"/>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 xml:space="preserve">（1 </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暴雨</w:t>
            </w:r>
            <w:r>
              <w:rPr>
                <w:rFonts w:hint="eastAsia" w:ascii="宋体" w:hAnsi="宋体" w:eastAsia="宋体" w:cs="宋体"/>
                <w:sz w:val="20"/>
                <w:szCs w:val="20"/>
                <w:highlight w:val="none"/>
              </w:rPr>
              <w:t>后</w:t>
            </w:r>
            <w:r>
              <w:rPr>
                <w:rFonts w:hint="eastAsia" w:ascii="宋体" w:hAnsi="宋体" w:eastAsia="宋体" w:cs="宋体"/>
                <w:sz w:val="20"/>
                <w:szCs w:val="20"/>
                <w:highlight w:val="none"/>
                <w:lang w:val="en-US" w:eastAsia="zh-CN" w:bidi="en-US"/>
              </w:rPr>
              <w:t xml:space="preserve">0.5d </w:t>
            </w:r>
            <w:r>
              <w:rPr>
                <w:rFonts w:hint="eastAsia" w:ascii="宋体" w:hAnsi="宋体" w:eastAsia="宋体" w:cs="宋体"/>
                <w:sz w:val="20"/>
                <w:szCs w:val="20"/>
                <w:highlight w:val="none"/>
              </w:rPr>
              <w:t>内无积水</w:t>
            </w:r>
            <w:r>
              <w:rPr>
                <w:rFonts w:hint="eastAsia" w:ascii="宋体" w:hAnsi="宋体" w:eastAsia="宋体" w:cs="宋体"/>
                <w:sz w:val="20"/>
                <w:szCs w:val="20"/>
                <w:highlight w:val="none"/>
                <w:lang w:eastAsia="zh-CN"/>
              </w:rPr>
              <w:t>；</w:t>
            </w:r>
          </w:p>
          <w:p w14:paraId="4DA02E24">
            <w:pPr>
              <w:pStyle w:val="26"/>
              <w:spacing w:line="330" w:lineRule="exact"/>
              <w:ind w:firstLine="260"/>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2）植株未岀现失 水萎</w:t>
            </w:r>
            <w:r>
              <w:rPr>
                <w:rFonts w:hint="eastAsia" w:ascii="宋体" w:hAnsi="宋体" w:eastAsia="宋体" w:cs="宋体"/>
                <w:sz w:val="20"/>
                <w:szCs w:val="20"/>
                <w:highlight w:val="none"/>
                <w:lang w:val="en-US" w:eastAsia="zh-CN"/>
              </w:rPr>
              <w:t>蔫</w:t>
            </w:r>
            <w:r>
              <w:rPr>
                <w:rFonts w:hint="eastAsia" w:ascii="宋体" w:hAnsi="宋体" w:eastAsia="宋体" w:cs="宋体"/>
                <w:sz w:val="20"/>
                <w:szCs w:val="20"/>
                <w:highlight w:val="none"/>
              </w:rPr>
              <w:t>和沥涝现象</w:t>
            </w:r>
          </w:p>
        </w:tc>
        <w:tc>
          <w:tcPr>
            <w:tcW w:w="2393" w:type="dxa"/>
            <w:tcBorders>
              <w:top w:val="single" w:color="auto" w:sz="4" w:space="0"/>
              <w:left w:val="single" w:color="auto" w:sz="4" w:space="0"/>
              <w:bottom w:val="single" w:color="auto" w:sz="4" w:space="0"/>
            </w:tcBorders>
            <w:shd w:val="clear" w:color="auto" w:fill="FFFFFF"/>
            <w:noWrap w:val="0"/>
            <w:vAlign w:val="center"/>
          </w:tcPr>
          <w:p w14:paraId="2E760565">
            <w:pPr>
              <w:pStyle w:val="26"/>
              <w:spacing w:line="300" w:lineRule="exact"/>
              <w:ind w:firstLine="260"/>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暴雨后</w:t>
            </w:r>
            <w:r>
              <w:rPr>
                <w:rFonts w:hint="eastAsia" w:ascii="宋体" w:hAnsi="宋体" w:eastAsia="宋体" w:cs="宋体"/>
                <w:sz w:val="20"/>
                <w:szCs w:val="20"/>
                <w:highlight w:val="none"/>
                <w:lang w:val="en-US" w:eastAsia="zh-CN"/>
              </w:rPr>
              <w:t>0.5d</w:t>
            </w:r>
            <w:r>
              <w:rPr>
                <w:rFonts w:hint="eastAsia" w:ascii="宋体" w:hAnsi="宋体" w:eastAsia="宋体" w:cs="宋体"/>
                <w:sz w:val="20"/>
                <w:szCs w:val="20"/>
                <w:highlight w:val="none"/>
              </w:rPr>
              <w:t>内无积水</w:t>
            </w:r>
            <w:r>
              <w:rPr>
                <w:rFonts w:hint="eastAsia" w:ascii="宋体" w:hAnsi="宋体" w:eastAsia="宋体" w:cs="宋体"/>
                <w:sz w:val="20"/>
                <w:szCs w:val="20"/>
                <w:highlight w:val="none"/>
                <w:lang w:eastAsia="zh-CN"/>
              </w:rPr>
              <w:t>；</w:t>
            </w:r>
          </w:p>
          <w:p w14:paraId="7BBF4D41">
            <w:pPr>
              <w:pStyle w:val="26"/>
              <w:spacing w:line="330" w:lineRule="exact"/>
              <w:ind w:firstLine="260"/>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2）植株基本无失 水萎</w:t>
            </w:r>
            <w:r>
              <w:rPr>
                <w:rFonts w:hint="eastAsia" w:ascii="宋体" w:hAnsi="宋体" w:eastAsia="宋体" w:cs="宋体"/>
                <w:sz w:val="20"/>
                <w:szCs w:val="20"/>
                <w:highlight w:val="none"/>
                <w:lang w:val="en-US" w:eastAsia="zh-CN"/>
              </w:rPr>
              <w:t>蔫</w:t>
            </w:r>
            <w:r>
              <w:rPr>
                <w:rFonts w:hint="eastAsia" w:ascii="宋体" w:hAnsi="宋体" w:eastAsia="宋体" w:cs="宋体"/>
                <w:sz w:val="20"/>
                <w:szCs w:val="20"/>
                <w:highlight w:val="none"/>
              </w:rPr>
              <w:t>和沥涝现象</w:t>
            </w: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039404">
            <w:pPr>
              <w:pStyle w:val="26"/>
              <w:spacing w:line="300" w:lineRule="exact"/>
              <w:ind w:firstLine="260"/>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w:t>
            </w:r>
            <w:r>
              <w:rPr>
                <w:rFonts w:hint="eastAsia" w:ascii="宋体" w:hAnsi="宋体" w:eastAsia="宋体" w:cs="宋体"/>
                <w:sz w:val="20"/>
                <w:szCs w:val="20"/>
                <w:highlight w:val="none"/>
                <w:lang w:val="en-US" w:eastAsia="zh-CN"/>
              </w:rPr>
              <w:t>暴</w:t>
            </w:r>
            <w:r>
              <w:rPr>
                <w:rFonts w:hint="eastAsia" w:ascii="宋体" w:hAnsi="宋体" w:eastAsia="宋体" w:cs="宋体"/>
                <w:sz w:val="20"/>
                <w:szCs w:val="20"/>
                <w:highlight w:val="none"/>
              </w:rPr>
              <w:t>雨后</w:t>
            </w:r>
            <w:r>
              <w:rPr>
                <w:rFonts w:hint="eastAsia" w:ascii="宋体" w:hAnsi="宋体" w:eastAsia="宋体" w:cs="宋体"/>
                <w:sz w:val="20"/>
                <w:szCs w:val="20"/>
                <w:highlight w:val="none"/>
                <w:lang w:val="en-US" w:eastAsia="zh-CN" w:bidi="en-US"/>
              </w:rPr>
              <w:t>1d</w:t>
            </w:r>
            <w:r>
              <w:rPr>
                <w:rFonts w:hint="eastAsia" w:ascii="宋体" w:hAnsi="宋体" w:eastAsia="宋体" w:cs="宋体"/>
                <w:sz w:val="20"/>
                <w:szCs w:val="20"/>
                <w:highlight w:val="none"/>
              </w:rPr>
              <w:t>内无</w:t>
            </w:r>
            <w:r>
              <w:rPr>
                <w:rFonts w:hint="eastAsia" w:ascii="宋体" w:hAnsi="宋体" w:eastAsia="宋体" w:cs="宋体"/>
                <w:sz w:val="20"/>
                <w:szCs w:val="20"/>
                <w:highlight w:val="none"/>
                <w:lang w:val="en-US" w:eastAsia="zh-CN"/>
              </w:rPr>
              <w:t>积水</w:t>
            </w:r>
            <w:r>
              <w:rPr>
                <w:rFonts w:hint="eastAsia" w:ascii="宋体" w:hAnsi="宋体" w:eastAsia="宋体" w:cs="宋体"/>
                <w:sz w:val="20"/>
                <w:szCs w:val="20"/>
                <w:highlight w:val="none"/>
              </w:rPr>
              <w:t>；</w:t>
            </w:r>
          </w:p>
          <w:p w14:paraId="3899D38C">
            <w:pPr>
              <w:pStyle w:val="26"/>
              <w:spacing w:line="300" w:lineRule="exact"/>
              <w:ind w:firstLine="260"/>
              <w:rPr>
                <w:rFonts w:hint="eastAsia" w:ascii="宋体" w:hAnsi="宋体" w:eastAsia="宋体" w:cs="宋体"/>
                <w:sz w:val="20"/>
                <w:szCs w:val="20"/>
                <w:highlight w:val="none"/>
              </w:rPr>
            </w:pPr>
            <w:r>
              <w:rPr>
                <w:rFonts w:hint="eastAsia" w:ascii="宋体" w:hAnsi="宋体" w:eastAsia="宋体" w:cs="宋体"/>
                <w:sz w:val="20"/>
                <w:szCs w:val="20"/>
                <w:highlight w:val="none"/>
              </w:rPr>
              <w:t>（2）植株失水或积水现象</w:t>
            </w:r>
            <w:r>
              <w:rPr>
                <w:rFonts w:hint="eastAsia" w:ascii="宋体" w:hAnsi="宋体" w:eastAsia="宋体" w:cs="宋体"/>
                <w:sz w:val="20"/>
                <w:szCs w:val="20"/>
                <w:highlight w:val="none"/>
                <w:lang w:val="en-US" w:eastAsia="zh-CN" w:bidi="en-US"/>
              </w:rPr>
              <w:t>1d</w:t>
            </w:r>
            <w:r>
              <w:rPr>
                <w:rFonts w:hint="eastAsia" w:ascii="宋体" w:hAnsi="宋体" w:eastAsia="宋体" w:cs="宋体"/>
                <w:sz w:val="20"/>
                <w:szCs w:val="20"/>
                <w:highlight w:val="none"/>
              </w:rPr>
              <w:t>〜</w:t>
            </w:r>
            <w:r>
              <w:rPr>
                <w:rFonts w:hint="eastAsia" w:ascii="宋体" w:hAnsi="宋体" w:eastAsia="宋体" w:cs="宋体"/>
                <w:sz w:val="20"/>
                <w:szCs w:val="20"/>
                <w:highlight w:val="none"/>
                <w:lang w:val="en-US" w:eastAsia="zh-CN" w:bidi="en-US"/>
              </w:rPr>
              <w:t>2d</w:t>
            </w:r>
            <w:r>
              <w:rPr>
                <w:rFonts w:hint="eastAsia" w:ascii="宋体" w:hAnsi="宋体" w:eastAsia="宋体" w:cs="宋体"/>
                <w:sz w:val="20"/>
                <w:szCs w:val="20"/>
                <w:highlight w:val="none"/>
              </w:rPr>
              <w:t>内消除</w:t>
            </w:r>
          </w:p>
        </w:tc>
      </w:tr>
      <w:tr w14:paraId="48ACBE49">
        <w:tblPrEx>
          <w:tblCellMar>
            <w:top w:w="0" w:type="dxa"/>
            <w:left w:w="10" w:type="dxa"/>
            <w:bottom w:w="0" w:type="dxa"/>
            <w:right w:w="10" w:type="dxa"/>
          </w:tblCellMar>
        </w:tblPrEx>
        <w:trPr>
          <w:trHeight w:val="1590" w:hRule="exact"/>
          <w:jc w:val="center"/>
        </w:trPr>
        <w:tc>
          <w:tcPr>
            <w:tcW w:w="682" w:type="dxa"/>
            <w:tcBorders>
              <w:top w:val="single" w:color="auto" w:sz="4" w:space="0"/>
              <w:left w:val="single" w:color="auto" w:sz="4" w:space="0"/>
              <w:bottom w:val="single" w:color="auto" w:sz="4" w:space="0"/>
            </w:tcBorders>
            <w:shd w:val="clear" w:color="auto" w:fill="FFFFFF"/>
            <w:noWrap w:val="0"/>
            <w:vAlign w:val="center"/>
          </w:tcPr>
          <w:p w14:paraId="584BDEE4">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4</w:t>
            </w:r>
          </w:p>
        </w:tc>
        <w:tc>
          <w:tcPr>
            <w:tcW w:w="1050" w:type="dxa"/>
            <w:tcBorders>
              <w:top w:val="single" w:color="auto" w:sz="4" w:space="0"/>
              <w:left w:val="single" w:color="auto" w:sz="4" w:space="0"/>
              <w:bottom w:val="single" w:color="auto" w:sz="4" w:space="0"/>
            </w:tcBorders>
            <w:shd w:val="clear" w:color="auto" w:fill="FFFFFF"/>
            <w:noWrap w:val="0"/>
            <w:vAlign w:val="center"/>
          </w:tcPr>
          <w:p w14:paraId="2FAF06E9">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情况</w:t>
            </w:r>
          </w:p>
        </w:tc>
        <w:tc>
          <w:tcPr>
            <w:tcW w:w="2000" w:type="dxa"/>
            <w:tcBorders>
              <w:top w:val="single" w:color="auto" w:sz="4" w:space="0"/>
              <w:left w:val="single" w:color="auto" w:sz="4" w:space="0"/>
              <w:bottom w:val="single" w:color="auto" w:sz="4" w:space="0"/>
            </w:tcBorders>
            <w:shd w:val="clear" w:color="auto" w:fill="FFFFFF"/>
            <w:noWrap w:val="0"/>
            <w:vAlign w:val="center"/>
          </w:tcPr>
          <w:p w14:paraId="66D003F1">
            <w:pPr>
              <w:pStyle w:val="26"/>
              <w:spacing w:line="305"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bidi="en-US"/>
              </w:rPr>
              <w:t>（1）</w:t>
            </w:r>
            <w:r>
              <w:rPr>
                <w:rFonts w:hint="eastAsia" w:ascii="宋体" w:hAnsi="宋体" w:eastAsia="宋体" w:cs="宋体"/>
                <w:sz w:val="20"/>
                <w:szCs w:val="20"/>
                <w:highlight w:val="none"/>
              </w:rPr>
              <w:t>基本无有害生 物危害状；</w:t>
            </w:r>
          </w:p>
          <w:p w14:paraId="582A4BA9">
            <w:pPr>
              <w:pStyle w:val="26"/>
              <w:spacing w:line="305" w:lineRule="exact"/>
              <w:ind w:firstLine="260"/>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2）整体枝叶受害 率</w:t>
            </w: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8%</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树干受害率</w:t>
            </w: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5%</w:t>
            </w:r>
          </w:p>
        </w:tc>
        <w:tc>
          <w:tcPr>
            <w:tcW w:w="2393" w:type="dxa"/>
            <w:tcBorders>
              <w:top w:val="single" w:color="auto" w:sz="4" w:space="0"/>
              <w:left w:val="single" w:color="auto" w:sz="4" w:space="0"/>
              <w:bottom w:val="single" w:color="auto" w:sz="4" w:space="0"/>
            </w:tcBorders>
            <w:shd w:val="clear" w:color="auto" w:fill="FFFFFF"/>
            <w:noWrap w:val="0"/>
            <w:vAlign w:val="center"/>
          </w:tcPr>
          <w:p w14:paraId="4922DE5F">
            <w:pPr>
              <w:pStyle w:val="26"/>
              <w:spacing w:line="305"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（1）无明显的有害 生物危害状：</w:t>
            </w:r>
          </w:p>
          <w:p w14:paraId="5F7EAED0">
            <w:pPr>
              <w:pStyle w:val="26"/>
              <w:spacing w:line="305" w:lineRule="exact"/>
              <w:ind w:firstLine="260"/>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w:t>
            </w:r>
            <w:r>
              <w:rPr>
                <w:rFonts w:hint="eastAsia" w:ascii="宋体" w:hAnsi="宋体" w:eastAsia="宋体" w:cs="宋体"/>
                <w:sz w:val="20"/>
                <w:szCs w:val="20"/>
                <w:highlight w:val="none"/>
                <w:lang w:val="en-US" w:eastAsia="zh-CN"/>
              </w:rPr>
              <w:t>整</w:t>
            </w:r>
            <w:r>
              <w:rPr>
                <w:rFonts w:hint="eastAsia" w:ascii="宋体" w:hAnsi="宋体" w:eastAsia="宋体" w:cs="宋体"/>
                <w:sz w:val="20"/>
                <w:szCs w:val="20"/>
                <w:highlight w:val="none"/>
              </w:rPr>
              <w:t>体枝叶受</w:t>
            </w:r>
            <w:r>
              <w:rPr>
                <w:rFonts w:hint="eastAsia" w:ascii="宋体" w:hAnsi="宋体" w:eastAsia="宋体" w:cs="宋体"/>
                <w:sz w:val="20"/>
                <w:szCs w:val="20"/>
                <w:highlight w:val="none"/>
                <w:lang w:val="en-US" w:eastAsia="zh-CN"/>
              </w:rPr>
              <w:t>害</w:t>
            </w:r>
            <w:r>
              <w:rPr>
                <w:rFonts w:hint="eastAsia" w:ascii="宋体" w:hAnsi="宋体" w:eastAsia="宋体" w:cs="宋体"/>
                <w:sz w:val="20"/>
                <w:szCs w:val="20"/>
                <w:highlight w:val="none"/>
              </w:rPr>
              <w:t xml:space="preserve"> 率</w:t>
            </w:r>
            <w:r>
              <w:rPr>
                <w:rFonts w:hint="eastAsia" w:ascii="宋体" w:hAnsi="宋体" w:eastAsia="宋体" w:cs="宋体"/>
                <w:sz w:val="20"/>
                <w:szCs w:val="20"/>
                <w:highlight w:val="none"/>
                <w:lang w:val="en-US" w:eastAsia="zh-CN" w:bidi="en-US"/>
              </w:rPr>
              <w:t>≤10%，</w:t>
            </w:r>
            <w:r>
              <w:rPr>
                <w:rFonts w:hint="eastAsia" w:ascii="宋体" w:hAnsi="宋体" w:eastAsia="宋体" w:cs="宋体"/>
                <w:sz w:val="20"/>
                <w:szCs w:val="20"/>
                <w:highlight w:val="none"/>
              </w:rPr>
              <w:t>树</w:t>
            </w:r>
            <w:r>
              <w:rPr>
                <w:rFonts w:hint="eastAsia" w:ascii="宋体" w:hAnsi="宋体" w:eastAsia="宋体" w:cs="宋体"/>
                <w:sz w:val="20"/>
                <w:szCs w:val="20"/>
                <w:highlight w:val="none"/>
                <w:lang w:val="en-US" w:eastAsia="zh-CN"/>
              </w:rPr>
              <w:t>干</w:t>
            </w:r>
            <w:r>
              <w:rPr>
                <w:rFonts w:hint="eastAsia" w:ascii="宋体" w:hAnsi="宋体" w:eastAsia="宋体" w:cs="宋体"/>
                <w:sz w:val="20"/>
                <w:szCs w:val="20"/>
                <w:highlight w:val="none"/>
              </w:rPr>
              <w:t>受害率</w:t>
            </w: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8%</w:t>
            </w: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7E5DDF">
            <w:pPr>
              <w:pStyle w:val="26"/>
              <w:spacing w:line="310" w:lineRule="exact"/>
              <w:ind w:firstLine="260"/>
              <w:rPr>
                <w:rFonts w:hint="eastAsia" w:ascii="宋体" w:hAnsi="宋体" w:eastAsia="宋体" w:cs="宋体"/>
                <w:sz w:val="20"/>
                <w:szCs w:val="20"/>
                <w:highlight w:val="none"/>
              </w:rPr>
            </w:pPr>
            <w:r>
              <w:rPr>
                <w:rFonts w:hint="eastAsia" w:ascii="宋体" w:hAnsi="宋体" w:eastAsia="宋体" w:cs="宋体"/>
                <w:sz w:val="20"/>
                <w:szCs w:val="20"/>
                <w:highlight w:val="none"/>
              </w:rPr>
              <w:t>（1）无</w:t>
            </w:r>
            <w:r>
              <w:rPr>
                <w:rFonts w:hint="eastAsia" w:ascii="宋体" w:hAnsi="宋体" w:eastAsia="宋体" w:cs="宋体"/>
                <w:sz w:val="20"/>
                <w:szCs w:val="20"/>
                <w:highlight w:val="none"/>
                <w:lang w:val="en-US" w:eastAsia="zh-CN"/>
              </w:rPr>
              <w:t>严重有害生物</w:t>
            </w:r>
            <w:r>
              <w:rPr>
                <w:rFonts w:hint="eastAsia" w:ascii="宋体" w:hAnsi="宋体" w:eastAsia="宋体" w:cs="宋体"/>
                <w:sz w:val="20"/>
                <w:szCs w:val="20"/>
                <w:highlight w:val="none"/>
              </w:rPr>
              <w:t>危害状；</w:t>
            </w:r>
          </w:p>
          <w:p w14:paraId="06052BA5">
            <w:pPr>
              <w:pStyle w:val="26"/>
              <w:spacing w:line="310" w:lineRule="exact"/>
              <w:ind w:firstLine="260"/>
              <w:rPr>
                <w:rFonts w:hint="eastAsia" w:ascii="宋体" w:hAnsi="宋体" w:eastAsia="宋体" w:cs="宋体"/>
                <w:sz w:val="20"/>
                <w:szCs w:val="20"/>
                <w:highlight w:val="none"/>
              </w:rPr>
            </w:pPr>
            <w:r>
              <w:rPr>
                <w:rFonts w:hint="eastAsia" w:ascii="宋体" w:hAnsi="宋体" w:eastAsia="宋体" w:cs="宋体"/>
                <w:sz w:val="20"/>
                <w:szCs w:val="20"/>
                <w:highlight w:val="none"/>
              </w:rPr>
              <w:t>（2</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整体</w:t>
            </w:r>
            <w:r>
              <w:rPr>
                <w:rFonts w:hint="eastAsia" w:ascii="宋体" w:hAnsi="宋体" w:eastAsia="宋体" w:cs="宋体"/>
                <w:sz w:val="20"/>
                <w:szCs w:val="20"/>
                <w:highlight w:val="none"/>
                <w:lang w:val="en-US" w:eastAsia="zh-CN"/>
              </w:rPr>
              <w:t>树</w:t>
            </w:r>
            <w:r>
              <w:rPr>
                <w:rFonts w:hint="eastAsia" w:ascii="宋体" w:hAnsi="宋体" w:eastAsia="宋体" w:cs="宋体"/>
                <w:sz w:val="20"/>
                <w:szCs w:val="20"/>
                <w:highlight w:val="none"/>
              </w:rPr>
              <w:t>叶受害率</w:t>
            </w:r>
            <w:r>
              <w:rPr>
                <w:rFonts w:hint="eastAsia" w:ascii="宋体" w:hAnsi="宋体" w:eastAsia="宋体" w:cs="宋体"/>
                <w:sz w:val="20"/>
                <w:szCs w:val="20"/>
                <w:highlight w:val="none"/>
                <w:lang w:val="en-US" w:eastAsia="zh-CN"/>
              </w:rPr>
              <w:t>≤1</w:t>
            </w:r>
            <w:r>
              <w:rPr>
                <w:rFonts w:hint="eastAsia" w:ascii="宋体" w:hAnsi="宋体" w:eastAsia="宋体" w:cs="宋体"/>
                <w:sz w:val="20"/>
                <w:szCs w:val="20"/>
                <w:highlight w:val="none"/>
              </w:rPr>
              <w:t>5%</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树干受害率≤</w:t>
            </w:r>
            <w:r>
              <w:rPr>
                <w:rFonts w:hint="eastAsia" w:ascii="宋体" w:hAnsi="宋体" w:eastAsia="宋体" w:cs="宋体"/>
                <w:sz w:val="20"/>
                <w:szCs w:val="20"/>
                <w:highlight w:val="none"/>
              </w:rPr>
              <w:t>10%</w:t>
            </w:r>
          </w:p>
        </w:tc>
      </w:tr>
      <w:tr w14:paraId="525C9FF0">
        <w:tblPrEx>
          <w:tblCellMar>
            <w:top w:w="0" w:type="dxa"/>
            <w:left w:w="10" w:type="dxa"/>
            <w:bottom w:w="0" w:type="dxa"/>
            <w:right w:w="10" w:type="dxa"/>
          </w:tblCellMar>
        </w:tblPrEx>
        <w:trPr>
          <w:trHeight w:val="1160" w:hRule="exact"/>
          <w:jc w:val="center"/>
        </w:trPr>
        <w:tc>
          <w:tcPr>
            <w:tcW w:w="682" w:type="dxa"/>
            <w:tcBorders>
              <w:top w:val="single" w:color="auto" w:sz="4" w:space="0"/>
              <w:left w:val="single" w:color="auto" w:sz="4" w:space="0"/>
              <w:bottom w:val="single" w:color="auto" w:sz="4" w:space="0"/>
            </w:tcBorders>
            <w:shd w:val="clear" w:color="auto" w:fill="FFFFFF"/>
            <w:noWrap w:val="0"/>
            <w:vAlign w:val="center"/>
          </w:tcPr>
          <w:p w14:paraId="776A0CD3">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5</w:t>
            </w:r>
          </w:p>
        </w:tc>
        <w:tc>
          <w:tcPr>
            <w:tcW w:w="1050" w:type="dxa"/>
            <w:tcBorders>
              <w:top w:val="single" w:color="auto" w:sz="4" w:space="0"/>
              <w:left w:val="single" w:color="auto" w:sz="4" w:space="0"/>
              <w:bottom w:val="single" w:color="auto" w:sz="4" w:space="0"/>
            </w:tcBorders>
            <w:shd w:val="clear" w:color="auto" w:fill="FFFFFF"/>
            <w:noWrap w:val="0"/>
            <w:vAlign w:val="center"/>
          </w:tcPr>
          <w:p w14:paraId="04903BEE">
            <w:pPr>
              <w:pStyle w:val="26"/>
              <w:spacing w:line="315" w:lineRule="exact"/>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补植完成时</w:t>
            </w:r>
            <w:r>
              <w:rPr>
                <w:rFonts w:hint="eastAsia" w:ascii="宋体" w:hAnsi="宋体" w:eastAsia="宋体" w:cs="宋体"/>
                <w:sz w:val="20"/>
                <w:szCs w:val="20"/>
                <w:highlight w:val="none"/>
                <w:lang w:val="en-US" w:eastAsia="zh-CN"/>
              </w:rPr>
              <w:t>间</w:t>
            </w:r>
          </w:p>
        </w:tc>
        <w:tc>
          <w:tcPr>
            <w:tcW w:w="2000" w:type="dxa"/>
            <w:tcBorders>
              <w:top w:val="single" w:color="auto" w:sz="4" w:space="0"/>
              <w:left w:val="single" w:color="auto" w:sz="4" w:space="0"/>
              <w:bottom w:val="single" w:color="auto" w:sz="4" w:space="0"/>
            </w:tcBorders>
            <w:shd w:val="clear" w:color="auto" w:fill="FFFFFF"/>
            <w:noWrap w:val="0"/>
            <w:vAlign w:val="center"/>
          </w:tcPr>
          <w:p w14:paraId="3328C4BE">
            <w:pPr>
              <w:pStyle w:val="26"/>
              <w:spacing w:line="240" w:lineRule="auto"/>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lang w:val="en-US" w:eastAsia="en-US" w:bidi="en-US"/>
              </w:rPr>
              <w:t>3d</w:t>
            </w:r>
          </w:p>
        </w:tc>
        <w:tc>
          <w:tcPr>
            <w:tcW w:w="2393" w:type="dxa"/>
            <w:tcBorders>
              <w:top w:val="single" w:color="auto" w:sz="4" w:space="0"/>
              <w:left w:val="single" w:color="auto" w:sz="4" w:space="0"/>
              <w:bottom w:val="single" w:color="auto" w:sz="4" w:space="0"/>
            </w:tcBorders>
            <w:shd w:val="clear" w:color="auto" w:fill="FFFFFF"/>
            <w:noWrap w:val="0"/>
            <w:vAlign w:val="center"/>
          </w:tcPr>
          <w:p w14:paraId="258E656A">
            <w:pPr>
              <w:pStyle w:val="26"/>
              <w:spacing w:line="240" w:lineRule="auto"/>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lang w:val="en-US" w:eastAsia="en-US" w:bidi="en-US"/>
              </w:rPr>
              <w:t>7d</w:t>
            </w: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78780A">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lang w:val="en-US" w:eastAsia="en-US" w:bidi="en-US"/>
              </w:rPr>
              <w:t>20d</w:t>
            </w:r>
          </w:p>
        </w:tc>
      </w:tr>
    </w:tbl>
    <w:p w14:paraId="70637DC9">
      <w:pPr>
        <w:spacing w:line="1" w:lineRule="exact"/>
        <w:rPr>
          <w:rFonts w:hint="eastAsia" w:ascii="宋体" w:hAnsi="宋体" w:eastAsia="宋体" w:cs="宋体"/>
          <w:sz w:val="24"/>
          <w:szCs w:val="24"/>
          <w:highlight w:val="none"/>
        </w:rPr>
      </w:pPr>
    </w:p>
    <w:p w14:paraId="348418CB">
      <w:pPr>
        <w:pStyle w:val="7"/>
        <w:rPr>
          <w:rFonts w:hint="eastAsia" w:ascii="宋体" w:hAnsi="宋体" w:eastAsia="宋体" w:cs="宋体"/>
          <w:sz w:val="24"/>
          <w:szCs w:val="24"/>
          <w:highlight w:val="none"/>
        </w:rPr>
      </w:pPr>
    </w:p>
    <w:p w14:paraId="1EBBE2C8">
      <w:pPr>
        <w:rPr>
          <w:rFonts w:hint="eastAsia" w:ascii="宋体" w:hAnsi="宋体" w:eastAsia="宋体" w:cs="宋体"/>
          <w:sz w:val="24"/>
          <w:szCs w:val="24"/>
          <w:highlight w:val="none"/>
        </w:rPr>
      </w:pPr>
    </w:p>
    <w:p w14:paraId="5CF11C58">
      <w:pPr>
        <w:pStyle w:val="7"/>
        <w:rPr>
          <w:rFonts w:hint="eastAsia" w:ascii="宋体" w:hAnsi="宋体" w:eastAsia="宋体" w:cs="宋体"/>
          <w:sz w:val="24"/>
          <w:szCs w:val="24"/>
          <w:highlight w:val="none"/>
        </w:rPr>
      </w:pPr>
    </w:p>
    <w:p w14:paraId="2C5D54E5">
      <w:pPr>
        <w:rPr>
          <w:rFonts w:hint="eastAsia" w:ascii="宋体" w:hAnsi="宋体" w:eastAsia="宋体" w:cs="宋体"/>
          <w:sz w:val="24"/>
          <w:szCs w:val="24"/>
          <w:highlight w:val="none"/>
        </w:rPr>
      </w:pPr>
    </w:p>
    <w:p w14:paraId="45E740E1">
      <w:pPr>
        <w:pStyle w:val="27"/>
        <w:keepNext/>
        <w:keepLines/>
        <w:spacing w:before="0" w:after="0"/>
        <w:rPr>
          <w:rFonts w:hint="eastAsia" w:ascii="宋体" w:hAnsi="宋体" w:eastAsia="宋体" w:cs="宋体"/>
          <w:sz w:val="24"/>
          <w:szCs w:val="24"/>
          <w:highlight w:val="none"/>
        </w:rPr>
      </w:pPr>
      <w:bookmarkStart w:id="639" w:name="bookmark14"/>
      <w:bookmarkStart w:id="640" w:name="bookmark15"/>
      <w:bookmarkStart w:id="641" w:name="bookmark13"/>
      <w:r>
        <w:rPr>
          <w:rFonts w:hint="eastAsia" w:ascii="宋体" w:hAnsi="宋体" w:eastAsia="宋体" w:cs="宋体"/>
          <w:sz w:val="24"/>
          <w:szCs w:val="24"/>
          <w:highlight w:val="none"/>
        </w:rPr>
        <w:t>附录</w:t>
      </w:r>
      <w:r>
        <w:rPr>
          <w:rFonts w:hint="eastAsia" w:ascii="宋体" w:hAnsi="宋体" w:eastAsia="宋体" w:cs="宋体"/>
          <w:sz w:val="24"/>
          <w:szCs w:val="24"/>
          <w:highlight w:val="none"/>
          <w:lang w:val="en-US" w:eastAsia="zh-CN"/>
        </w:rPr>
        <w:t>B</w:t>
      </w:r>
      <w:r>
        <w:rPr>
          <w:rFonts w:hint="eastAsia" w:ascii="宋体" w:hAnsi="宋体" w:eastAsia="宋体" w:cs="宋体"/>
          <w:sz w:val="24"/>
          <w:szCs w:val="24"/>
          <w:highlight w:val="none"/>
        </w:rPr>
        <w:t>花卉养护质量等级</w:t>
      </w:r>
      <w:bookmarkEnd w:id="639"/>
      <w:bookmarkEnd w:id="640"/>
      <w:bookmarkEnd w:id="641"/>
    </w:p>
    <w:tbl>
      <w:tblPr>
        <w:tblStyle w:val="14"/>
        <w:tblW w:w="8208" w:type="dxa"/>
        <w:jc w:val="center"/>
        <w:tblLayout w:type="fixed"/>
        <w:tblCellMar>
          <w:top w:w="0" w:type="dxa"/>
          <w:left w:w="10" w:type="dxa"/>
          <w:bottom w:w="0" w:type="dxa"/>
          <w:right w:w="10" w:type="dxa"/>
        </w:tblCellMar>
      </w:tblPr>
      <w:tblGrid>
        <w:gridCol w:w="760"/>
        <w:gridCol w:w="1295"/>
        <w:gridCol w:w="1950"/>
        <w:gridCol w:w="1860"/>
        <w:gridCol w:w="2343"/>
      </w:tblGrid>
      <w:tr w14:paraId="289416D3">
        <w:tblPrEx>
          <w:tblCellMar>
            <w:top w:w="0" w:type="dxa"/>
            <w:left w:w="10" w:type="dxa"/>
            <w:bottom w:w="0" w:type="dxa"/>
            <w:right w:w="10" w:type="dxa"/>
          </w:tblCellMar>
        </w:tblPrEx>
        <w:trPr>
          <w:trHeight w:val="375" w:hRule="exact"/>
          <w:jc w:val="center"/>
        </w:trPr>
        <w:tc>
          <w:tcPr>
            <w:tcW w:w="760" w:type="dxa"/>
            <w:vMerge w:val="restart"/>
            <w:tcBorders>
              <w:top w:val="single" w:color="auto" w:sz="4" w:space="0"/>
              <w:left w:val="single" w:color="auto" w:sz="4" w:space="0"/>
            </w:tcBorders>
            <w:shd w:val="clear" w:color="auto" w:fill="FFFFFF"/>
            <w:noWrap w:val="0"/>
            <w:vAlign w:val="center"/>
          </w:tcPr>
          <w:p w14:paraId="7E0D2B1B">
            <w:pPr>
              <w:pStyle w:val="26"/>
              <w:spacing w:line="315"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序 号</w:t>
            </w:r>
          </w:p>
        </w:tc>
        <w:tc>
          <w:tcPr>
            <w:tcW w:w="1295" w:type="dxa"/>
            <w:vMerge w:val="restart"/>
            <w:tcBorders>
              <w:top w:val="single" w:color="auto" w:sz="4" w:space="0"/>
              <w:left w:val="single" w:color="auto" w:sz="4" w:space="0"/>
            </w:tcBorders>
            <w:shd w:val="clear" w:color="auto" w:fill="FFFFFF"/>
            <w:noWrap w:val="0"/>
            <w:vAlign w:val="center"/>
          </w:tcPr>
          <w:p w14:paraId="71EA9C99">
            <w:pPr>
              <w:pStyle w:val="26"/>
              <w:spacing w:line="240" w:lineRule="auto"/>
              <w:ind w:firstLine="2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项目</w:t>
            </w:r>
          </w:p>
        </w:tc>
        <w:tc>
          <w:tcPr>
            <w:tcW w:w="6153" w:type="dxa"/>
            <w:gridSpan w:val="3"/>
            <w:tcBorders>
              <w:top w:val="single" w:color="auto" w:sz="4" w:space="0"/>
              <w:left w:val="single" w:color="auto" w:sz="4" w:space="0"/>
              <w:right w:val="single" w:color="auto" w:sz="4" w:space="0"/>
            </w:tcBorders>
            <w:shd w:val="clear" w:color="auto" w:fill="FFFFFF"/>
            <w:noWrap w:val="0"/>
            <w:vAlign w:val="center"/>
          </w:tcPr>
          <w:p w14:paraId="51D9CC63">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质</w:t>
            </w:r>
            <w:r>
              <w:rPr>
                <w:rFonts w:hint="eastAsia" w:ascii="宋体" w:hAnsi="宋体" w:eastAsia="宋体" w:cs="宋体"/>
                <w:sz w:val="20"/>
                <w:szCs w:val="20"/>
                <w:highlight w:val="none"/>
                <w:lang w:val="en-US" w:eastAsia="zh-CN"/>
              </w:rPr>
              <w:t>量</w:t>
            </w:r>
            <w:r>
              <w:rPr>
                <w:rFonts w:hint="eastAsia" w:ascii="宋体" w:hAnsi="宋体" w:eastAsia="宋体" w:cs="宋体"/>
                <w:sz w:val="20"/>
                <w:szCs w:val="20"/>
                <w:highlight w:val="none"/>
              </w:rPr>
              <w:t>要求</w:t>
            </w:r>
          </w:p>
        </w:tc>
      </w:tr>
      <w:tr w14:paraId="00065FB2">
        <w:tblPrEx>
          <w:tblCellMar>
            <w:top w:w="0" w:type="dxa"/>
            <w:left w:w="10" w:type="dxa"/>
            <w:bottom w:w="0" w:type="dxa"/>
            <w:right w:w="10" w:type="dxa"/>
          </w:tblCellMar>
        </w:tblPrEx>
        <w:trPr>
          <w:trHeight w:val="390" w:hRule="exact"/>
          <w:jc w:val="center"/>
        </w:trPr>
        <w:tc>
          <w:tcPr>
            <w:tcW w:w="760" w:type="dxa"/>
            <w:vMerge w:val="continue"/>
            <w:tcBorders>
              <w:left w:val="single" w:color="auto" w:sz="4" w:space="0"/>
            </w:tcBorders>
            <w:shd w:val="clear" w:color="auto" w:fill="FFFFFF"/>
            <w:noWrap w:val="0"/>
            <w:vAlign w:val="center"/>
          </w:tcPr>
          <w:p w14:paraId="73AB4B4A">
            <w:pPr>
              <w:rPr>
                <w:rFonts w:hint="eastAsia" w:ascii="宋体" w:hAnsi="宋体" w:eastAsia="宋体" w:cs="宋体"/>
                <w:sz w:val="20"/>
                <w:szCs w:val="20"/>
                <w:highlight w:val="none"/>
              </w:rPr>
            </w:pPr>
          </w:p>
        </w:tc>
        <w:tc>
          <w:tcPr>
            <w:tcW w:w="1295" w:type="dxa"/>
            <w:vMerge w:val="continue"/>
            <w:tcBorders>
              <w:left w:val="single" w:color="auto" w:sz="4" w:space="0"/>
            </w:tcBorders>
            <w:shd w:val="clear" w:color="auto" w:fill="FFFFFF"/>
            <w:noWrap w:val="0"/>
            <w:vAlign w:val="center"/>
          </w:tcPr>
          <w:p w14:paraId="6E66FFF6">
            <w:pPr>
              <w:rPr>
                <w:rFonts w:hint="eastAsia" w:ascii="宋体" w:hAnsi="宋体" w:eastAsia="宋体" w:cs="宋体"/>
                <w:sz w:val="20"/>
                <w:szCs w:val="20"/>
                <w:highlight w:val="none"/>
              </w:rPr>
            </w:pPr>
          </w:p>
        </w:tc>
        <w:tc>
          <w:tcPr>
            <w:tcW w:w="1950" w:type="dxa"/>
            <w:tcBorders>
              <w:top w:val="single" w:color="auto" w:sz="4" w:space="0"/>
              <w:left w:val="single" w:color="auto" w:sz="4" w:space="0"/>
            </w:tcBorders>
            <w:shd w:val="clear" w:color="auto" w:fill="FFFFFF"/>
            <w:noWrap w:val="0"/>
            <w:vAlign w:val="center"/>
          </w:tcPr>
          <w:p w14:paraId="53E19D38">
            <w:pPr>
              <w:pStyle w:val="26"/>
              <w:spacing w:line="240" w:lineRule="auto"/>
              <w:ind w:firstLine="94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一</w:t>
            </w:r>
            <w:r>
              <w:rPr>
                <w:rFonts w:hint="eastAsia" w:ascii="宋体" w:hAnsi="宋体" w:eastAsia="宋体" w:cs="宋体"/>
                <w:sz w:val="20"/>
                <w:szCs w:val="20"/>
                <w:highlight w:val="none"/>
              </w:rPr>
              <w:t>级</w:t>
            </w:r>
          </w:p>
        </w:tc>
        <w:tc>
          <w:tcPr>
            <w:tcW w:w="1860" w:type="dxa"/>
            <w:tcBorders>
              <w:top w:val="single" w:color="auto" w:sz="4" w:space="0"/>
              <w:left w:val="single" w:color="auto" w:sz="4" w:space="0"/>
            </w:tcBorders>
            <w:shd w:val="clear" w:color="auto" w:fill="FFFFFF"/>
            <w:noWrap w:val="0"/>
            <w:vAlign w:val="center"/>
          </w:tcPr>
          <w:p w14:paraId="47365FCD">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二</w:t>
            </w:r>
            <w:r>
              <w:rPr>
                <w:rFonts w:hint="eastAsia" w:ascii="宋体" w:hAnsi="宋体" w:eastAsia="宋体" w:cs="宋体"/>
                <w:sz w:val="20"/>
                <w:szCs w:val="20"/>
                <w:highlight w:val="none"/>
              </w:rPr>
              <w:t>级</w:t>
            </w:r>
          </w:p>
        </w:tc>
        <w:tc>
          <w:tcPr>
            <w:tcW w:w="2343" w:type="dxa"/>
            <w:tcBorders>
              <w:top w:val="single" w:color="auto" w:sz="4" w:space="0"/>
              <w:left w:val="single" w:color="auto" w:sz="4" w:space="0"/>
              <w:right w:val="single" w:color="auto" w:sz="4" w:space="0"/>
            </w:tcBorders>
            <w:shd w:val="clear" w:color="auto" w:fill="FFFFFF"/>
            <w:noWrap w:val="0"/>
            <w:vAlign w:val="center"/>
          </w:tcPr>
          <w:p w14:paraId="78935D9C">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三级</w:t>
            </w:r>
          </w:p>
        </w:tc>
      </w:tr>
      <w:tr w14:paraId="37E9447E">
        <w:tblPrEx>
          <w:tblCellMar>
            <w:top w:w="0" w:type="dxa"/>
            <w:left w:w="10" w:type="dxa"/>
            <w:bottom w:w="0" w:type="dxa"/>
            <w:right w:w="10" w:type="dxa"/>
          </w:tblCellMar>
        </w:tblPrEx>
        <w:trPr>
          <w:trHeight w:val="1475" w:hRule="exact"/>
          <w:jc w:val="center"/>
        </w:trPr>
        <w:tc>
          <w:tcPr>
            <w:tcW w:w="760" w:type="dxa"/>
            <w:tcBorders>
              <w:top w:val="single" w:color="auto" w:sz="4" w:space="0"/>
              <w:left w:val="single" w:color="auto" w:sz="4" w:space="0"/>
            </w:tcBorders>
            <w:shd w:val="clear" w:color="auto" w:fill="FFFFFF"/>
            <w:noWrap w:val="0"/>
            <w:vAlign w:val="center"/>
          </w:tcPr>
          <w:p w14:paraId="09637CDA">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1</w:t>
            </w:r>
          </w:p>
        </w:tc>
        <w:tc>
          <w:tcPr>
            <w:tcW w:w="1295" w:type="dxa"/>
            <w:tcBorders>
              <w:top w:val="single" w:color="auto" w:sz="4" w:space="0"/>
              <w:left w:val="single" w:color="auto" w:sz="4" w:space="0"/>
            </w:tcBorders>
            <w:shd w:val="clear" w:color="auto" w:fill="FFFFFF"/>
            <w:noWrap w:val="0"/>
            <w:vAlign w:val="center"/>
          </w:tcPr>
          <w:p w14:paraId="3FA63A0B">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整体效果</w:t>
            </w:r>
          </w:p>
        </w:tc>
        <w:tc>
          <w:tcPr>
            <w:tcW w:w="1950" w:type="dxa"/>
            <w:tcBorders>
              <w:top w:val="single" w:color="auto" w:sz="4" w:space="0"/>
              <w:left w:val="single" w:color="auto" w:sz="4" w:space="0"/>
            </w:tcBorders>
            <w:shd w:val="clear" w:color="auto" w:fill="FFFFFF"/>
            <w:noWrap w:val="0"/>
            <w:vAlign w:val="center"/>
          </w:tcPr>
          <w:p w14:paraId="3F1608A9">
            <w:pPr>
              <w:pStyle w:val="26"/>
              <w:tabs>
                <w:tab w:val="left" w:pos="555"/>
              </w:tabs>
              <w:spacing w:line="285" w:lineRule="exact"/>
              <w:rPr>
                <w:rFonts w:hint="eastAsia" w:ascii="宋体" w:hAnsi="宋体" w:eastAsia="宋体" w:cs="宋体"/>
                <w:sz w:val="20"/>
                <w:szCs w:val="20"/>
                <w:highlight w:val="none"/>
              </w:rPr>
            </w:pPr>
            <w:r>
              <w:rPr>
                <w:rFonts w:hint="eastAsia" w:ascii="宋体" w:hAnsi="宋体" w:eastAsia="宋体" w:cs="宋体"/>
                <w:sz w:val="20"/>
                <w:szCs w:val="20"/>
                <w:highlight w:val="none"/>
              </w:rPr>
              <w:t>（1）缺株倒伏的花 苗</w:t>
            </w:r>
            <w:r>
              <w:rPr>
                <w:rFonts w:hint="eastAsia" w:ascii="宋体" w:hAnsi="宋体" w:eastAsia="宋体" w:cs="宋体"/>
                <w:sz w:val="20"/>
                <w:szCs w:val="20"/>
                <w:highlight w:val="none"/>
                <w:lang w:val="en-US"/>
              </w:rPr>
              <w:t>≤</w:t>
            </w:r>
            <w:r>
              <w:rPr>
                <w:rFonts w:hint="eastAsia" w:ascii="宋体" w:hAnsi="宋体" w:eastAsia="宋体" w:cs="宋体"/>
                <w:sz w:val="20"/>
                <w:szCs w:val="20"/>
                <w:highlight w:val="none"/>
              </w:rPr>
              <w:t>3%；</w:t>
            </w:r>
          </w:p>
          <w:p w14:paraId="411AA540">
            <w:pPr>
              <w:pStyle w:val="26"/>
              <w:tabs>
                <w:tab w:val="left" w:pos="570"/>
              </w:tabs>
              <w:spacing w:line="315" w:lineRule="exact"/>
              <w:rPr>
                <w:rFonts w:hint="eastAsia" w:ascii="宋体" w:hAnsi="宋体" w:eastAsia="宋体" w:cs="宋体"/>
                <w:sz w:val="20"/>
                <w:szCs w:val="20"/>
                <w:highlight w:val="none"/>
              </w:rPr>
            </w:pPr>
            <w:r>
              <w:rPr>
                <w:rFonts w:hint="eastAsia" w:ascii="宋体" w:hAnsi="宋体" w:eastAsia="宋体" w:cs="宋体"/>
                <w:sz w:val="20"/>
                <w:szCs w:val="20"/>
                <w:highlight w:val="none"/>
              </w:rPr>
              <w:t>（2）基本无枯叶、 残花</w:t>
            </w:r>
          </w:p>
        </w:tc>
        <w:tc>
          <w:tcPr>
            <w:tcW w:w="1860" w:type="dxa"/>
            <w:tcBorders>
              <w:top w:val="single" w:color="auto" w:sz="4" w:space="0"/>
              <w:left w:val="single" w:color="auto" w:sz="4" w:space="0"/>
            </w:tcBorders>
            <w:shd w:val="clear" w:color="auto" w:fill="FFFFFF"/>
            <w:noWrap w:val="0"/>
            <w:vAlign w:val="center"/>
          </w:tcPr>
          <w:p w14:paraId="4290577C">
            <w:pPr>
              <w:pStyle w:val="26"/>
              <w:spacing w:line="285" w:lineRule="exact"/>
              <w:rPr>
                <w:rFonts w:hint="eastAsia" w:ascii="宋体" w:hAnsi="宋体" w:eastAsia="宋体" w:cs="宋体"/>
                <w:sz w:val="20"/>
                <w:szCs w:val="20"/>
                <w:highlight w:val="none"/>
              </w:rPr>
            </w:pPr>
            <w:r>
              <w:rPr>
                <w:rFonts w:hint="eastAsia" w:ascii="宋体" w:hAnsi="宋体" w:eastAsia="宋体" w:cs="宋体"/>
                <w:sz w:val="20"/>
                <w:szCs w:val="20"/>
                <w:highlight w:val="none"/>
              </w:rPr>
              <w:t>（1）缺株倒伏的花 苗</w:t>
            </w:r>
            <w:r>
              <w:rPr>
                <w:rFonts w:hint="eastAsia" w:ascii="宋体" w:hAnsi="宋体" w:eastAsia="宋体" w:cs="宋体"/>
                <w:sz w:val="20"/>
                <w:szCs w:val="20"/>
                <w:highlight w:val="none"/>
                <w:lang w:val="en-US" w:bidi="en-US"/>
              </w:rPr>
              <w:t>≤</w:t>
            </w:r>
            <w:r>
              <w:rPr>
                <w:rFonts w:hint="eastAsia" w:ascii="宋体" w:hAnsi="宋体" w:eastAsia="宋体" w:cs="宋体"/>
                <w:sz w:val="20"/>
                <w:szCs w:val="20"/>
                <w:highlight w:val="none"/>
              </w:rPr>
              <w:t>7%；</w:t>
            </w:r>
          </w:p>
          <w:p w14:paraId="4F90F24A">
            <w:pPr>
              <w:pStyle w:val="26"/>
              <w:spacing w:after="80" w:line="285" w:lineRule="exac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2</w:t>
            </w: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枯叶</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残花</w:t>
            </w:r>
            <w:r>
              <w:rPr>
                <w:rFonts w:hint="eastAsia" w:ascii="宋体" w:hAnsi="宋体" w:eastAsia="宋体" w:cs="宋体"/>
                <w:sz w:val="20"/>
                <w:szCs w:val="20"/>
                <w:highlight w:val="none"/>
                <w:lang w:val="en-US" w:eastAsia="zh-CN"/>
              </w:rPr>
              <w:t>量</w:t>
            </w:r>
          </w:p>
          <w:p w14:paraId="173239F2">
            <w:pPr>
              <w:pStyle w:val="26"/>
              <w:spacing w:after="60" w:line="314" w:lineRule="auto"/>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5%</w:t>
            </w:r>
          </w:p>
        </w:tc>
        <w:tc>
          <w:tcPr>
            <w:tcW w:w="2343" w:type="dxa"/>
            <w:tcBorders>
              <w:top w:val="single" w:color="auto" w:sz="4" w:space="0"/>
              <w:left w:val="single" w:color="auto" w:sz="4" w:space="0"/>
              <w:right w:val="single" w:color="auto" w:sz="4" w:space="0"/>
            </w:tcBorders>
            <w:shd w:val="clear" w:color="auto" w:fill="FFFFFF"/>
            <w:noWrap w:val="0"/>
            <w:vAlign w:val="center"/>
          </w:tcPr>
          <w:p w14:paraId="48397A44">
            <w:pPr>
              <w:pStyle w:val="26"/>
              <w:spacing w:line="285"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 xml:space="preserve">（1）缺株倒伏的花苗 </w:t>
            </w:r>
            <w:r>
              <w:rPr>
                <w:rFonts w:hint="eastAsia" w:ascii="宋体" w:hAnsi="宋体" w:eastAsia="宋体" w:cs="宋体"/>
                <w:sz w:val="20"/>
                <w:szCs w:val="20"/>
                <w:highlight w:val="none"/>
                <w:lang w:val="en-US" w:bidi="en-US"/>
              </w:rPr>
              <w:t>≤</w:t>
            </w:r>
            <w:r>
              <w:rPr>
                <w:rFonts w:hint="eastAsia" w:ascii="宋体" w:hAnsi="宋体" w:eastAsia="宋体" w:cs="宋体"/>
                <w:sz w:val="20"/>
                <w:szCs w:val="20"/>
                <w:highlight w:val="none"/>
              </w:rPr>
              <w:t>10%；</w:t>
            </w:r>
          </w:p>
          <w:p w14:paraId="657EA256">
            <w:pPr>
              <w:pStyle w:val="26"/>
              <w:spacing w:after="80" w:line="285"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2）枯叶、残花量</w:t>
            </w:r>
          </w:p>
          <w:p w14:paraId="7C2775CC">
            <w:pPr>
              <w:pStyle w:val="26"/>
              <w:spacing w:after="60" w:line="314" w:lineRule="auto"/>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8%</w:t>
            </w:r>
          </w:p>
        </w:tc>
      </w:tr>
      <w:tr w14:paraId="52BD6574">
        <w:tblPrEx>
          <w:tblCellMar>
            <w:top w:w="0" w:type="dxa"/>
            <w:left w:w="10" w:type="dxa"/>
            <w:bottom w:w="0" w:type="dxa"/>
            <w:right w:w="10" w:type="dxa"/>
          </w:tblCellMar>
        </w:tblPrEx>
        <w:trPr>
          <w:trHeight w:val="2220" w:hRule="exact"/>
          <w:jc w:val="center"/>
        </w:trPr>
        <w:tc>
          <w:tcPr>
            <w:tcW w:w="760" w:type="dxa"/>
            <w:tcBorders>
              <w:top w:val="single" w:color="auto" w:sz="4" w:space="0"/>
              <w:left w:val="single" w:color="auto" w:sz="4" w:space="0"/>
            </w:tcBorders>
            <w:shd w:val="clear" w:color="auto" w:fill="FFFFFF"/>
            <w:noWrap w:val="0"/>
            <w:vAlign w:val="center"/>
          </w:tcPr>
          <w:p w14:paraId="21C82682">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2</w:t>
            </w:r>
          </w:p>
        </w:tc>
        <w:tc>
          <w:tcPr>
            <w:tcW w:w="1295" w:type="dxa"/>
            <w:tcBorders>
              <w:top w:val="single" w:color="auto" w:sz="4" w:space="0"/>
              <w:left w:val="single" w:color="auto" w:sz="4" w:space="0"/>
            </w:tcBorders>
            <w:shd w:val="clear" w:color="auto" w:fill="FFFFFF"/>
            <w:noWrap w:val="0"/>
            <w:vAlign w:val="center"/>
          </w:tcPr>
          <w:p w14:paraId="3FE1E330">
            <w:pPr>
              <w:pStyle w:val="26"/>
              <w:spacing w:line="240" w:lineRule="auto"/>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生长</w:t>
            </w:r>
            <w:r>
              <w:rPr>
                <w:rFonts w:hint="eastAsia" w:ascii="宋体" w:hAnsi="宋体" w:eastAsia="宋体" w:cs="宋体"/>
                <w:sz w:val="20"/>
                <w:szCs w:val="20"/>
                <w:highlight w:val="none"/>
                <w:lang w:val="en-US" w:eastAsia="zh-CN"/>
              </w:rPr>
              <w:t>势</w:t>
            </w:r>
          </w:p>
        </w:tc>
        <w:tc>
          <w:tcPr>
            <w:tcW w:w="1950" w:type="dxa"/>
            <w:tcBorders>
              <w:top w:val="single" w:color="auto" w:sz="4" w:space="0"/>
              <w:left w:val="single" w:color="auto" w:sz="4" w:space="0"/>
            </w:tcBorders>
            <w:shd w:val="clear" w:color="auto" w:fill="FFFFFF"/>
            <w:noWrap w:val="0"/>
            <w:vAlign w:val="top"/>
          </w:tcPr>
          <w:p w14:paraId="69236DEC">
            <w:pPr>
              <w:pStyle w:val="26"/>
              <w:spacing w:line="310" w:lineRule="exact"/>
              <w:rPr>
                <w:rFonts w:hint="eastAsia" w:ascii="宋体" w:hAnsi="宋体" w:eastAsia="宋体" w:cs="宋体"/>
                <w:sz w:val="20"/>
                <w:szCs w:val="20"/>
                <w:highlight w:val="none"/>
              </w:rPr>
            </w:pPr>
            <w:r>
              <w:rPr>
                <w:rFonts w:hint="eastAsia" w:ascii="宋体" w:hAnsi="宋体" w:eastAsia="宋体" w:cs="宋体"/>
                <w:sz w:val="20"/>
                <w:szCs w:val="20"/>
                <w:highlight w:val="none"/>
              </w:rPr>
              <w:t>（1）植株生长健壮：</w:t>
            </w:r>
          </w:p>
          <w:p w14:paraId="13559B89">
            <w:pPr>
              <w:pStyle w:val="26"/>
              <w:spacing w:line="310" w:lineRule="exac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2）茎</w:t>
            </w:r>
            <w:r>
              <w:rPr>
                <w:rFonts w:hint="eastAsia" w:ascii="宋体" w:hAnsi="宋体" w:eastAsia="宋体" w:cs="宋体"/>
                <w:sz w:val="20"/>
                <w:szCs w:val="20"/>
                <w:highlight w:val="none"/>
                <w:lang w:val="en-US" w:eastAsia="zh-CN" w:bidi="en-US"/>
              </w:rPr>
              <w:t>干</w:t>
            </w:r>
            <w:r>
              <w:rPr>
                <w:rFonts w:hint="eastAsia" w:ascii="宋体" w:hAnsi="宋体" w:eastAsia="宋体" w:cs="宋体"/>
                <w:sz w:val="20"/>
                <w:szCs w:val="20"/>
                <w:highlight w:val="none"/>
              </w:rPr>
              <w:t>粗壮</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基</w:t>
            </w:r>
            <w:r>
              <w:rPr>
                <w:rFonts w:hint="eastAsia" w:ascii="宋体" w:hAnsi="宋体" w:eastAsia="宋体" w:cs="宋体"/>
                <w:i/>
                <w:iCs/>
                <w:sz w:val="20"/>
                <w:szCs w:val="20"/>
                <w:highlight w:val="none"/>
              </w:rPr>
              <w:t xml:space="preserve"> </w:t>
            </w:r>
            <w:r>
              <w:rPr>
                <w:rFonts w:hint="eastAsia" w:ascii="宋体" w:hAnsi="宋体" w:eastAsia="宋体" w:cs="宋体"/>
                <w:sz w:val="20"/>
                <w:szCs w:val="20"/>
                <w:highlight w:val="none"/>
              </w:rPr>
              <w:t>部分枝强健</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lang w:val="en-US" w:eastAsia="zh-CN"/>
              </w:rPr>
              <w:t>蓬径饱满</w:t>
            </w:r>
            <w:r>
              <w:rPr>
                <w:rFonts w:hint="eastAsia" w:ascii="宋体" w:hAnsi="宋体" w:eastAsia="宋体" w:cs="宋体"/>
                <w:sz w:val="20"/>
                <w:szCs w:val="20"/>
                <w:highlight w:val="none"/>
              </w:rPr>
              <w:t>；</w:t>
            </w:r>
          </w:p>
          <w:p w14:paraId="1558AF6B">
            <w:pPr>
              <w:pStyle w:val="26"/>
              <w:spacing w:line="330" w:lineRule="exact"/>
              <w:rPr>
                <w:rFonts w:hint="eastAsia" w:ascii="宋体" w:hAnsi="宋体" w:eastAsia="宋体" w:cs="宋体"/>
                <w:sz w:val="20"/>
                <w:szCs w:val="20"/>
                <w:highlight w:val="none"/>
              </w:rPr>
            </w:pPr>
            <w:r>
              <w:rPr>
                <w:rFonts w:hint="eastAsia" w:ascii="宋体" w:hAnsi="宋体" w:eastAsia="宋体" w:cs="宋体"/>
                <w:sz w:val="20"/>
                <w:szCs w:val="20"/>
                <w:highlight w:val="none"/>
              </w:rPr>
              <w:t>（3</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花型美观</w:t>
            </w:r>
            <w:r>
              <w:rPr>
                <w:rFonts w:hint="eastAsia" w:ascii="宋体" w:hAnsi="宋体" w:eastAsia="宋体" w:cs="宋体"/>
                <w:sz w:val="20"/>
                <w:szCs w:val="20"/>
                <w:highlight w:val="none"/>
                <w:lang w:val="zh-CN" w:eastAsia="zh-CN" w:bidi="zh-CN"/>
              </w:rPr>
              <w:t xml:space="preserve">，花 </w:t>
            </w:r>
            <w:r>
              <w:rPr>
                <w:rFonts w:hint="eastAsia" w:ascii="宋体" w:hAnsi="宋体" w:eastAsia="宋体" w:cs="宋体"/>
                <w:sz w:val="20"/>
                <w:szCs w:val="20"/>
                <w:highlight w:val="none"/>
              </w:rPr>
              <w:t>色鲜艳</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lang w:val="en-US" w:eastAsia="zh-CN"/>
              </w:rPr>
              <w:t>株</w:t>
            </w:r>
            <w:r>
              <w:rPr>
                <w:rFonts w:hint="eastAsia" w:ascii="宋体" w:hAnsi="宋体" w:eastAsia="宋体" w:cs="宋体"/>
                <w:sz w:val="20"/>
                <w:szCs w:val="20"/>
                <w:highlight w:val="none"/>
              </w:rPr>
              <w:t>高一致</w:t>
            </w:r>
          </w:p>
        </w:tc>
        <w:tc>
          <w:tcPr>
            <w:tcW w:w="1860" w:type="dxa"/>
            <w:tcBorders>
              <w:top w:val="single" w:color="auto" w:sz="4" w:space="0"/>
              <w:left w:val="single" w:color="auto" w:sz="4" w:space="0"/>
            </w:tcBorders>
            <w:shd w:val="clear" w:color="auto" w:fill="FFFFFF"/>
            <w:noWrap w:val="0"/>
            <w:vAlign w:val="center"/>
          </w:tcPr>
          <w:p w14:paraId="0FDE60CD">
            <w:pPr>
              <w:pStyle w:val="26"/>
              <w:spacing w:after="280" w:line="315" w:lineRule="exact"/>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植株生</w:t>
            </w:r>
            <w:r>
              <w:rPr>
                <w:rFonts w:hint="eastAsia" w:ascii="宋体" w:hAnsi="宋体" w:eastAsia="宋体" w:cs="宋体"/>
                <w:sz w:val="20"/>
                <w:szCs w:val="20"/>
                <w:highlight w:val="none"/>
                <w:lang w:val="en-US" w:eastAsia="zh-CN"/>
              </w:rPr>
              <w:t>长</w:t>
            </w:r>
            <w:r>
              <w:rPr>
                <w:rFonts w:hint="eastAsia" w:ascii="宋体" w:hAnsi="宋体" w:eastAsia="宋体" w:cs="宋体"/>
                <w:sz w:val="20"/>
                <w:szCs w:val="20"/>
                <w:highlight w:val="none"/>
              </w:rPr>
              <w:t>基本</w:t>
            </w:r>
            <w:r>
              <w:rPr>
                <w:rFonts w:hint="eastAsia" w:ascii="宋体" w:hAnsi="宋体" w:eastAsia="宋体" w:cs="宋体"/>
                <w:sz w:val="20"/>
                <w:szCs w:val="20"/>
                <w:highlight w:val="none"/>
                <w:lang w:val="en-US" w:eastAsia="zh-CN"/>
              </w:rPr>
              <w:t>健壮；</w:t>
            </w:r>
          </w:p>
          <w:p w14:paraId="5BDBDF84">
            <w:pPr>
              <w:pStyle w:val="26"/>
              <w:spacing w:line="315" w:lineRule="exac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茎干</w:t>
            </w:r>
            <w:r>
              <w:rPr>
                <w:rFonts w:hint="eastAsia" w:ascii="宋体" w:hAnsi="宋体" w:eastAsia="宋体" w:cs="宋体"/>
                <w:sz w:val="20"/>
                <w:szCs w:val="20"/>
                <w:highlight w:val="none"/>
                <w:lang w:val="zh-CN" w:eastAsia="zh-CN" w:bidi="zh-CN"/>
              </w:rPr>
              <w:t>粗壮，</w:t>
            </w:r>
            <w:r>
              <w:rPr>
                <w:rFonts w:hint="eastAsia" w:ascii="宋体" w:hAnsi="宋体" w:eastAsia="宋体" w:cs="宋体"/>
                <w:sz w:val="20"/>
                <w:szCs w:val="20"/>
                <w:highlight w:val="none"/>
              </w:rPr>
              <w:t>基部分枝强健</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蓬径基本饱満</w:t>
            </w:r>
            <w:r>
              <w:rPr>
                <w:rFonts w:hint="eastAsia" w:ascii="宋体" w:hAnsi="宋体" w:eastAsia="宋体" w:cs="宋体"/>
                <w:sz w:val="20"/>
                <w:szCs w:val="20"/>
                <w:highlight w:val="none"/>
                <w:lang w:eastAsia="zh-CN"/>
              </w:rPr>
              <w:t>；</w:t>
            </w:r>
          </w:p>
          <w:p w14:paraId="66A0E7BD">
            <w:pPr>
              <w:pStyle w:val="26"/>
              <w:spacing w:line="315" w:lineRule="exact"/>
              <w:ind w:firstLine="260"/>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3）株高一致</w:t>
            </w:r>
          </w:p>
        </w:tc>
        <w:tc>
          <w:tcPr>
            <w:tcW w:w="2343" w:type="dxa"/>
            <w:tcBorders>
              <w:top w:val="single" w:color="auto" w:sz="4" w:space="0"/>
              <w:left w:val="single" w:color="auto" w:sz="4" w:space="0"/>
              <w:right w:val="single" w:color="auto" w:sz="4" w:space="0"/>
            </w:tcBorders>
            <w:shd w:val="clear" w:color="auto" w:fill="FFFFFF"/>
            <w:noWrap w:val="0"/>
            <w:vAlign w:val="center"/>
          </w:tcPr>
          <w:p w14:paraId="1B73FED5">
            <w:pPr>
              <w:pStyle w:val="26"/>
              <w:spacing w:line="315"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植株生长基本健壮；</w:t>
            </w:r>
          </w:p>
          <w:p w14:paraId="20FAEF89">
            <w:pPr>
              <w:pStyle w:val="26"/>
              <w:spacing w:line="315"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2）茎干</w:t>
            </w:r>
            <w:r>
              <w:rPr>
                <w:rFonts w:hint="eastAsia" w:ascii="宋体" w:hAnsi="宋体" w:eastAsia="宋体" w:cs="宋体"/>
                <w:sz w:val="20"/>
                <w:szCs w:val="20"/>
                <w:highlight w:val="none"/>
                <w:lang w:val="en-US" w:eastAsia="zh-CN" w:bidi="zh-CN"/>
              </w:rPr>
              <w:t>粗壮，</w:t>
            </w:r>
            <w:r>
              <w:rPr>
                <w:rFonts w:hint="eastAsia" w:ascii="宋体" w:hAnsi="宋体" w:eastAsia="宋体" w:cs="宋体"/>
                <w:sz w:val="20"/>
                <w:szCs w:val="20"/>
                <w:highlight w:val="none"/>
              </w:rPr>
              <w:t>基部分枝强健</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蓬径</w:t>
            </w:r>
            <w:r>
              <w:rPr>
                <w:rFonts w:hint="eastAsia" w:ascii="宋体" w:hAnsi="宋体" w:eastAsia="宋体" w:cs="宋体"/>
                <w:sz w:val="20"/>
                <w:szCs w:val="20"/>
                <w:highlight w:val="none"/>
                <w:lang w:val="en-US" w:eastAsia="zh-CN"/>
              </w:rPr>
              <w:t>基</w:t>
            </w:r>
            <w:r>
              <w:rPr>
                <w:rFonts w:hint="eastAsia" w:ascii="宋体" w:hAnsi="宋体" w:eastAsia="宋体" w:cs="宋体"/>
                <w:sz w:val="20"/>
                <w:szCs w:val="20"/>
                <w:highlight w:val="none"/>
              </w:rPr>
              <w:t>本抱满：</w:t>
            </w:r>
          </w:p>
          <w:p w14:paraId="50D91FF7">
            <w:pPr>
              <w:pStyle w:val="26"/>
              <w:spacing w:line="315"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（3）株高基本一致</w:t>
            </w:r>
          </w:p>
        </w:tc>
      </w:tr>
      <w:tr w14:paraId="1580F1E4">
        <w:tblPrEx>
          <w:tblCellMar>
            <w:top w:w="0" w:type="dxa"/>
            <w:left w:w="10" w:type="dxa"/>
            <w:bottom w:w="0" w:type="dxa"/>
            <w:right w:w="10" w:type="dxa"/>
          </w:tblCellMar>
        </w:tblPrEx>
        <w:trPr>
          <w:trHeight w:val="1305" w:hRule="exact"/>
          <w:jc w:val="center"/>
        </w:trPr>
        <w:tc>
          <w:tcPr>
            <w:tcW w:w="760" w:type="dxa"/>
            <w:tcBorders>
              <w:top w:val="single" w:color="auto" w:sz="4" w:space="0"/>
              <w:left w:val="single" w:color="auto" w:sz="4" w:space="0"/>
            </w:tcBorders>
            <w:shd w:val="clear" w:color="auto" w:fill="FFFFFF"/>
            <w:noWrap w:val="0"/>
            <w:vAlign w:val="center"/>
          </w:tcPr>
          <w:p w14:paraId="0167326C">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3</w:t>
            </w:r>
          </w:p>
        </w:tc>
        <w:tc>
          <w:tcPr>
            <w:tcW w:w="1295" w:type="dxa"/>
            <w:tcBorders>
              <w:top w:val="single" w:color="auto" w:sz="4" w:space="0"/>
              <w:left w:val="single" w:color="auto" w:sz="4" w:space="0"/>
            </w:tcBorders>
            <w:shd w:val="clear" w:color="auto" w:fill="FFFFFF"/>
            <w:noWrap w:val="0"/>
            <w:vAlign w:val="center"/>
          </w:tcPr>
          <w:p w14:paraId="1A577394">
            <w:pPr>
              <w:pStyle w:val="26"/>
              <w:spacing w:line="240" w:lineRule="auto"/>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排</w:t>
            </w:r>
            <w:r>
              <w:rPr>
                <w:rFonts w:hint="eastAsia" w:ascii="宋体" w:hAnsi="宋体" w:eastAsia="宋体" w:cs="宋体"/>
                <w:sz w:val="20"/>
                <w:szCs w:val="20"/>
                <w:highlight w:val="none"/>
                <w:lang w:val="en-US" w:eastAsia="zh-CN"/>
              </w:rPr>
              <w:t>灌</w:t>
            </w:r>
          </w:p>
        </w:tc>
        <w:tc>
          <w:tcPr>
            <w:tcW w:w="1950" w:type="dxa"/>
            <w:tcBorders>
              <w:top w:val="single" w:color="auto" w:sz="4" w:space="0"/>
              <w:left w:val="single" w:color="auto" w:sz="4" w:space="0"/>
            </w:tcBorders>
            <w:shd w:val="clear" w:color="auto" w:fill="FFFFFF"/>
            <w:noWrap w:val="0"/>
            <w:vAlign w:val="bottom"/>
          </w:tcPr>
          <w:p w14:paraId="70AF7580">
            <w:pPr>
              <w:pStyle w:val="26"/>
              <w:spacing w:line="330" w:lineRule="exac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w:t>
            </w:r>
            <w:r>
              <w:rPr>
                <w:rFonts w:hint="eastAsia" w:ascii="宋体" w:hAnsi="宋体" w:eastAsia="宋体" w:cs="宋体"/>
                <w:sz w:val="20"/>
                <w:szCs w:val="20"/>
                <w:highlight w:val="none"/>
                <w:lang w:val="en-US" w:eastAsia="zh-CN"/>
              </w:rPr>
              <w:t>暴雨</w:t>
            </w:r>
            <w:r>
              <w:rPr>
                <w:rFonts w:hint="eastAsia" w:ascii="宋体" w:hAnsi="宋体" w:eastAsia="宋体" w:cs="宋体"/>
                <w:sz w:val="20"/>
                <w:szCs w:val="20"/>
                <w:highlight w:val="none"/>
              </w:rPr>
              <w:t>后</w:t>
            </w:r>
            <w:r>
              <w:rPr>
                <w:rFonts w:hint="eastAsia" w:ascii="宋体" w:hAnsi="宋体" w:eastAsia="宋体" w:cs="宋体"/>
                <w:sz w:val="20"/>
                <w:szCs w:val="20"/>
                <w:highlight w:val="none"/>
                <w:lang w:val="en-US" w:eastAsia="zh-CN" w:bidi="en-US"/>
              </w:rPr>
              <w:t xml:space="preserve">0.5d </w:t>
            </w:r>
            <w:r>
              <w:rPr>
                <w:rFonts w:hint="eastAsia" w:ascii="宋体" w:hAnsi="宋体" w:eastAsia="宋体" w:cs="宋体"/>
                <w:sz w:val="20"/>
                <w:szCs w:val="20"/>
                <w:highlight w:val="none"/>
              </w:rPr>
              <w:t>内</w:t>
            </w:r>
            <w:r>
              <w:rPr>
                <w:rFonts w:hint="eastAsia" w:ascii="宋体" w:hAnsi="宋体" w:eastAsia="宋体" w:cs="宋体"/>
                <w:sz w:val="20"/>
                <w:szCs w:val="20"/>
                <w:highlight w:val="none"/>
                <w:lang w:val="en-US" w:eastAsia="zh-CN"/>
              </w:rPr>
              <w:t>无</w:t>
            </w:r>
            <w:r>
              <w:rPr>
                <w:rFonts w:hint="eastAsia" w:ascii="宋体" w:hAnsi="宋体" w:eastAsia="宋体" w:cs="宋体"/>
                <w:sz w:val="20"/>
                <w:szCs w:val="20"/>
                <w:highlight w:val="none"/>
              </w:rPr>
              <w:t>积水：</w:t>
            </w:r>
          </w:p>
          <w:p w14:paraId="5DBBB810">
            <w:pPr>
              <w:pStyle w:val="26"/>
              <w:spacing w:line="315" w:lineRule="exact"/>
              <w:rPr>
                <w:rFonts w:hint="eastAsia" w:ascii="宋体" w:hAnsi="宋体" w:eastAsia="宋体" w:cs="宋体"/>
                <w:sz w:val="20"/>
                <w:szCs w:val="20"/>
                <w:highlight w:val="none"/>
              </w:rPr>
            </w:pPr>
            <w:r>
              <w:rPr>
                <w:rFonts w:hint="eastAsia" w:ascii="宋体" w:hAnsi="宋体" w:eastAsia="宋体" w:cs="宋体"/>
                <w:sz w:val="20"/>
                <w:szCs w:val="20"/>
                <w:highlight w:val="none"/>
              </w:rPr>
              <w:t>（2）植株未出现失 水萎</w:t>
            </w:r>
            <w:r>
              <w:rPr>
                <w:rFonts w:hint="eastAsia" w:ascii="宋体" w:hAnsi="宋体" w:eastAsia="宋体" w:cs="宋体"/>
                <w:sz w:val="20"/>
                <w:szCs w:val="20"/>
                <w:highlight w:val="none"/>
                <w:lang w:val="en-US" w:eastAsia="zh-CN"/>
              </w:rPr>
              <w:t>蔫</w:t>
            </w:r>
            <w:r>
              <w:rPr>
                <w:rFonts w:hint="eastAsia" w:ascii="宋体" w:hAnsi="宋体" w:eastAsia="宋体" w:cs="宋体"/>
                <w:sz w:val="20"/>
                <w:szCs w:val="20"/>
                <w:highlight w:val="none"/>
              </w:rPr>
              <w:t>现象</w:t>
            </w:r>
          </w:p>
        </w:tc>
        <w:tc>
          <w:tcPr>
            <w:tcW w:w="1860" w:type="dxa"/>
            <w:tcBorders>
              <w:top w:val="single" w:color="auto" w:sz="4" w:space="0"/>
              <w:left w:val="single" w:color="auto" w:sz="4" w:space="0"/>
            </w:tcBorders>
            <w:shd w:val="clear" w:color="auto" w:fill="FFFFFF"/>
            <w:noWrap w:val="0"/>
            <w:vAlign w:val="bottom"/>
          </w:tcPr>
          <w:p w14:paraId="12C59462">
            <w:pPr>
              <w:pStyle w:val="26"/>
              <w:spacing w:line="330" w:lineRule="exac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w:t>
            </w:r>
            <w:r>
              <w:rPr>
                <w:rFonts w:hint="eastAsia" w:ascii="宋体" w:hAnsi="宋体" w:eastAsia="宋体" w:cs="宋体"/>
                <w:sz w:val="20"/>
                <w:szCs w:val="20"/>
                <w:highlight w:val="none"/>
                <w:lang w:val="en-US" w:eastAsia="zh-CN"/>
              </w:rPr>
              <w:t>暴</w:t>
            </w:r>
            <w:r>
              <w:rPr>
                <w:rFonts w:hint="eastAsia" w:ascii="宋体" w:hAnsi="宋体" w:eastAsia="宋体" w:cs="宋体"/>
                <w:sz w:val="20"/>
                <w:szCs w:val="20"/>
                <w:highlight w:val="none"/>
              </w:rPr>
              <w:t>雨后</w:t>
            </w:r>
            <w:r>
              <w:rPr>
                <w:rFonts w:hint="eastAsia" w:ascii="宋体" w:hAnsi="宋体" w:eastAsia="宋体" w:cs="宋体"/>
                <w:sz w:val="20"/>
                <w:szCs w:val="20"/>
                <w:highlight w:val="none"/>
                <w:lang w:val="en-US" w:eastAsia="zh-CN" w:bidi="en-US"/>
              </w:rPr>
              <w:t xml:space="preserve">0. </w:t>
            </w:r>
            <w:r>
              <w:rPr>
                <w:rFonts w:hint="eastAsia" w:ascii="宋体" w:hAnsi="宋体" w:eastAsia="宋体" w:cs="宋体"/>
                <w:sz w:val="20"/>
                <w:szCs w:val="20"/>
                <w:highlight w:val="none"/>
                <w:lang w:val="zh-CN" w:eastAsia="zh-CN" w:bidi="zh-CN"/>
              </w:rPr>
              <w:t>5</w:t>
            </w:r>
            <w:r>
              <w:rPr>
                <w:rFonts w:hint="eastAsia" w:ascii="宋体" w:hAnsi="宋体" w:eastAsia="宋体" w:cs="宋体"/>
                <w:sz w:val="20"/>
                <w:szCs w:val="20"/>
                <w:highlight w:val="none"/>
                <w:lang w:val="en-US" w:eastAsia="zh-CN" w:bidi="zh-CN"/>
              </w:rPr>
              <w:t>d</w:t>
            </w:r>
            <w:r>
              <w:rPr>
                <w:rFonts w:hint="eastAsia" w:ascii="宋体" w:hAnsi="宋体" w:eastAsia="宋体" w:cs="宋体"/>
                <w:sz w:val="20"/>
                <w:szCs w:val="20"/>
                <w:highlight w:val="none"/>
                <w:lang w:val="zh-CN" w:eastAsia="zh-CN" w:bidi="zh-CN"/>
              </w:rPr>
              <w:t xml:space="preserve"> </w:t>
            </w:r>
            <w:r>
              <w:rPr>
                <w:rFonts w:hint="eastAsia" w:ascii="宋体" w:hAnsi="宋体" w:eastAsia="宋体" w:cs="宋体"/>
                <w:sz w:val="20"/>
                <w:szCs w:val="20"/>
                <w:highlight w:val="none"/>
              </w:rPr>
              <w:t>内无</w:t>
            </w:r>
            <w:r>
              <w:rPr>
                <w:rFonts w:hint="eastAsia" w:ascii="宋体" w:hAnsi="宋体" w:eastAsia="宋体" w:cs="宋体"/>
                <w:sz w:val="20"/>
                <w:szCs w:val="20"/>
                <w:highlight w:val="none"/>
                <w:lang w:val="en-US" w:eastAsia="zh-CN"/>
              </w:rPr>
              <w:t>积</w:t>
            </w:r>
            <w:r>
              <w:rPr>
                <w:rFonts w:hint="eastAsia" w:ascii="宋体" w:hAnsi="宋体" w:eastAsia="宋体" w:cs="宋体"/>
                <w:sz w:val="20"/>
                <w:szCs w:val="20"/>
                <w:highlight w:val="none"/>
              </w:rPr>
              <w:t>水：</w:t>
            </w:r>
          </w:p>
          <w:p w14:paraId="0B91E8E3">
            <w:pPr>
              <w:pStyle w:val="26"/>
              <w:spacing w:line="315" w:lineRule="exac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2）植株基本无失 水萎</w:t>
            </w:r>
            <w:r>
              <w:rPr>
                <w:rFonts w:hint="eastAsia" w:ascii="宋体" w:hAnsi="宋体" w:eastAsia="宋体" w:cs="宋体"/>
                <w:sz w:val="20"/>
                <w:szCs w:val="20"/>
                <w:highlight w:val="none"/>
                <w:lang w:val="en-US" w:eastAsia="zh-CN"/>
              </w:rPr>
              <w:t>蔫</w:t>
            </w:r>
            <w:r>
              <w:rPr>
                <w:rFonts w:hint="eastAsia" w:ascii="宋体" w:hAnsi="宋体" w:eastAsia="宋体" w:cs="宋体"/>
                <w:sz w:val="20"/>
                <w:szCs w:val="20"/>
                <w:highlight w:val="none"/>
              </w:rPr>
              <w:t>现象</w:t>
            </w:r>
          </w:p>
        </w:tc>
        <w:tc>
          <w:tcPr>
            <w:tcW w:w="2343" w:type="dxa"/>
            <w:tcBorders>
              <w:top w:val="single" w:color="auto" w:sz="4" w:space="0"/>
              <w:left w:val="single" w:color="auto" w:sz="4" w:space="0"/>
              <w:right w:val="single" w:color="auto" w:sz="4" w:space="0"/>
            </w:tcBorders>
            <w:shd w:val="clear" w:color="auto" w:fill="FFFFFF"/>
            <w:noWrap w:val="0"/>
            <w:vAlign w:val="bottom"/>
          </w:tcPr>
          <w:p w14:paraId="31542C17">
            <w:pPr>
              <w:pStyle w:val="26"/>
              <w:spacing w:line="330"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1）暴雨后</w:t>
            </w:r>
            <w:r>
              <w:rPr>
                <w:rFonts w:hint="eastAsia" w:ascii="宋体" w:hAnsi="宋体" w:eastAsia="宋体" w:cs="宋体"/>
                <w:sz w:val="20"/>
                <w:szCs w:val="20"/>
                <w:highlight w:val="none"/>
                <w:lang w:val="en-US" w:eastAsia="zh-CN"/>
              </w:rPr>
              <w:t>0.5d</w:t>
            </w:r>
            <w:r>
              <w:rPr>
                <w:rFonts w:hint="eastAsia" w:ascii="宋体" w:hAnsi="宋体" w:eastAsia="宋体" w:cs="宋体"/>
                <w:sz w:val="20"/>
                <w:szCs w:val="20"/>
                <w:highlight w:val="none"/>
              </w:rPr>
              <w:t>内 无积水；</w:t>
            </w:r>
          </w:p>
          <w:p w14:paraId="47340C65">
            <w:pPr>
              <w:pStyle w:val="26"/>
              <w:spacing w:line="315"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2）植株无明显失水萎</w:t>
            </w:r>
            <w:r>
              <w:rPr>
                <w:rFonts w:hint="eastAsia" w:ascii="宋体" w:hAnsi="宋体" w:eastAsia="宋体" w:cs="宋体"/>
                <w:sz w:val="20"/>
                <w:szCs w:val="20"/>
                <w:highlight w:val="none"/>
                <w:lang w:val="en-US" w:eastAsia="zh-CN"/>
              </w:rPr>
              <w:t>蔫</w:t>
            </w:r>
            <w:r>
              <w:rPr>
                <w:rFonts w:hint="eastAsia" w:ascii="宋体" w:hAnsi="宋体" w:eastAsia="宋体" w:cs="宋体"/>
                <w:sz w:val="20"/>
                <w:szCs w:val="20"/>
                <w:highlight w:val="none"/>
              </w:rPr>
              <w:t>现象</w:t>
            </w:r>
          </w:p>
        </w:tc>
      </w:tr>
      <w:tr w14:paraId="6504D6EF">
        <w:tblPrEx>
          <w:tblCellMar>
            <w:top w:w="0" w:type="dxa"/>
            <w:left w:w="10" w:type="dxa"/>
            <w:bottom w:w="0" w:type="dxa"/>
            <w:right w:w="10" w:type="dxa"/>
          </w:tblCellMar>
        </w:tblPrEx>
        <w:trPr>
          <w:trHeight w:val="1305" w:hRule="exact"/>
          <w:jc w:val="center"/>
        </w:trPr>
        <w:tc>
          <w:tcPr>
            <w:tcW w:w="760" w:type="dxa"/>
            <w:tcBorders>
              <w:top w:val="single" w:color="auto" w:sz="4" w:space="0"/>
              <w:left w:val="single" w:color="auto" w:sz="4" w:space="0"/>
            </w:tcBorders>
            <w:shd w:val="clear" w:color="auto" w:fill="FFFFFF"/>
            <w:noWrap w:val="0"/>
            <w:vAlign w:val="center"/>
          </w:tcPr>
          <w:p w14:paraId="720B3433">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4</w:t>
            </w:r>
          </w:p>
        </w:tc>
        <w:tc>
          <w:tcPr>
            <w:tcW w:w="1295" w:type="dxa"/>
            <w:tcBorders>
              <w:top w:val="single" w:color="auto" w:sz="4" w:space="0"/>
              <w:left w:val="single" w:color="auto" w:sz="4" w:space="0"/>
            </w:tcBorders>
            <w:shd w:val="clear" w:color="auto" w:fill="FFFFFF"/>
            <w:noWrap w:val="0"/>
            <w:vAlign w:val="center"/>
          </w:tcPr>
          <w:p w14:paraId="2EE1ACB5">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病虫害情</w:t>
            </w:r>
            <w:r>
              <w:rPr>
                <w:rFonts w:hint="eastAsia" w:ascii="宋体" w:hAnsi="宋体" w:eastAsia="宋体" w:cs="宋体"/>
                <w:sz w:val="20"/>
                <w:szCs w:val="20"/>
                <w:highlight w:val="none"/>
              </w:rPr>
              <w:t>况</w:t>
            </w:r>
          </w:p>
        </w:tc>
        <w:tc>
          <w:tcPr>
            <w:tcW w:w="1950" w:type="dxa"/>
            <w:tcBorders>
              <w:top w:val="single" w:color="auto" w:sz="4" w:space="0"/>
              <w:left w:val="single" w:color="auto" w:sz="4" w:space="0"/>
            </w:tcBorders>
            <w:shd w:val="clear" w:color="auto" w:fill="FFFFFF"/>
            <w:noWrap w:val="0"/>
            <w:vAlign w:val="center"/>
          </w:tcPr>
          <w:p w14:paraId="6E7A8EFA">
            <w:pPr>
              <w:pStyle w:val="26"/>
              <w:spacing w:line="300" w:lineRule="exac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1）基本无有害生 物</w:t>
            </w:r>
            <w:r>
              <w:rPr>
                <w:rFonts w:hint="eastAsia" w:ascii="宋体" w:hAnsi="宋体" w:eastAsia="宋体" w:cs="宋体"/>
                <w:sz w:val="20"/>
                <w:szCs w:val="20"/>
                <w:highlight w:val="none"/>
                <w:lang w:val="en-US" w:eastAsia="zh-CN"/>
              </w:rPr>
              <w:t>危害</w:t>
            </w:r>
            <w:r>
              <w:rPr>
                <w:rFonts w:hint="eastAsia" w:ascii="宋体" w:hAnsi="宋体" w:eastAsia="宋体" w:cs="宋体"/>
                <w:sz w:val="20"/>
                <w:szCs w:val="20"/>
                <w:highlight w:val="none"/>
              </w:rPr>
              <w:t>状：</w:t>
            </w:r>
          </w:p>
          <w:p w14:paraId="0968D60B">
            <w:pPr>
              <w:pStyle w:val="26"/>
              <w:spacing w:after="40" w:line="329" w:lineRule="auto"/>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≤5</w:t>
            </w:r>
            <w:r>
              <w:rPr>
                <w:rFonts w:hint="eastAsia" w:ascii="宋体" w:hAnsi="宋体" w:eastAsia="宋体" w:cs="宋体"/>
                <w:sz w:val="20"/>
                <w:szCs w:val="20"/>
                <w:highlight w:val="none"/>
              </w:rPr>
              <w:t>%</w:t>
            </w:r>
          </w:p>
        </w:tc>
        <w:tc>
          <w:tcPr>
            <w:tcW w:w="1860" w:type="dxa"/>
            <w:tcBorders>
              <w:top w:val="single" w:color="auto" w:sz="4" w:space="0"/>
              <w:left w:val="single" w:color="auto" w:sz="4" w:space="0"/>
            </w:tcBorders>
            <w:shd w:val="clear" w:color="auto" w:fill="FFFFFF"/>
            <w:noWrap w:val="0"/>
            <w:vAlign w:val="center"/>
          </w:tcPr>
          <w:p w14:paraId="39897CFC">
            <w:pPr>
              <w:pStyle w:val="26"/>
              <w:spacing w:line="315" w:lineRule="exac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无明显有</w:t>
            </w:r>
            <w:r>
              <w:rPr>
                <w:rFonts w:hint="eastAsia" w:ascii="宋体" w:hAnsi="宋体" w:eastAsia="宋体" w:cs="宋体"/>
                <w:sz w:val="20"/>
                <w:szCs w:val="20"/>
                <w:highlight w:val="none"/>
                <w:lang w:val="en-US" w:eastAsia="zh-CN"/>
              </w:rPr>
              <w:t>害</w:t>
            </w:r>
            <w:r>
              <w:rPr>
                <w:rFonts w:hint="eastAsia" w:ascii="宋体" w:hAnsi="宋体" w:eastAsia="宋体" w:cs="宋体"/>
                <w:sz w:val="20"/>
                <w:szCs w:val="20"/>
                <w:highlight w:val="none"/>
              </w:rPr>
              <w:t>生 物危害状：</w:t>
            </w:r>
          </w:p>
          <w:p w14:paraId="03870D1C">
            <w:pPr>
              <w:pStyle w:val="26"/>
              <w:spacing w:line="315" w:lineRule="exac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 xml:space="preserve">2）植株受害率 </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8%</w:t>
            </w:r>
          </w:p>
        </w:tc>
        <w:tc>
          <w:tcPr>
            <w:tcW w:w="2343" w:type="dxa"/>
            <w:tcBorders>
              <w:top w:val="single" w:color="auto" w:sz="4" w:space="0"/>
              <w:left w:val="single" w:color="auto" w:sz="4" w:space="0"/>
              <w:right w:val="single" w:color="auto" w:sz="4" w:space="0"/>
            </w:tcBorders>
            <w:shd w:val="clear" w:color="auto" w:fill="FFFFFF"/>
            <w:noWrap w:val="0"/>
            <w:vAlign w:val="center"/>
          </w:tcPr>
          <w:p w14:paraId="0FC83386">
            <w:pPr>
              <w:pStyle w:val="26"/>
              <w:spacing w:line="315"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（1）无严重有害生物危</w:t>
            </w:r>
            <w:r>
              <w:rPr>
                <w:rFonts w:hint="eastAsia" w:ascii="宋体" w:hAnsi="宋体" w:eastAsia="宋体" w:cs="宋体"/>
                <w:sz w:val="20"/>
                <w:szCs w:val="20"/>
                <w:highlight w:val="none"/>
                <w:lang w:val="en-US" w:eastAsia="zh-CN"/>
              </w:rPr>
              <w:t>害</w:t>
            </w:r>
            <w:r>
              <w:rPr>
                <w:rFonts w:hint="eastAsia" w:ascii="宋体" w:hAnsi="宋体" w:eastAsia="宋体" w:cs="宋体"/>
                <w:sz w:val="20"/>
                <w:szCs w:val="20"/>
                <w:highlight w:val="none"/>
              </w:rPr>
              <w:t>状：</w:t>
            </w:r>
          </w:p>
          <w:p w14:paraId="4593F7EE">
            <w:pPr>
              <w:pStyle w:val="26"/>
              <w:spacing w:line="315"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植株受富率</w:t>
            </w: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10%</w:t>
            </w:r>
          </w:p>
        </w:tc>
      </w:tr>
      <w:tr w14:paraId="2164FA78">
        <w:tblPrEx>
          <w:tblCellMar>
            <w:top w:w="0" w:type="dxa"/>
            <w:left w:w="10" w:type="dxa"/>
            <w:bottom w:w="0" w:type="dxa"/>
            <w:right w:w="10" w:type="dxa"/>
          </w:tblCellMar>
        </w:tblPrEx>
        <w:trPr>
          <w:trHeight w:val="750" w:hRule="exact"/>
          <w:jc w:val="center"/>
        </w:trPr>
        <w:tc>
          <w:tcPr>
            <w:tcW w:w="760" w:type="dxa"/>
            <w:tcBorders>
              <w:top w:val="single" w:color="auto" w:sz="4" w:space="0"/>
              <w:left w:val="single" w:color="auto" w:sz="4" w:space="0"/>
            </w:tcBorders>
            <w:shd w:val="clear" w:color="auto" w:fill="FFFFFF"/>
            <w:noWrap w:val="0"/>
            <w:vAlign w:val="center"/>
          </w:tcPr>
          <w:p w14:paraId="28BA7961">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5</w:t>
            </w:r>
          </w:p>
        </w:tc>
        <w:tc>
          <w:tcPr>
            <w:tcW w:w="1295" w:type="dxa"/>
            <w:tcBorders>
              <w:top w:val="single" w:color="auto" w:sz="4" w:space="0"/>
              <w:left w:val="single" w:color="auto" w:sz="4" w:space="0"/>
            </w:tcBorders>
            <w:shd w:val="clear" w:color="auto" w:fill="FFFFFF"/>
            <w:noWrap w:val="0"/>
            <w:vAlign w:val="center"/>
          </w:tcPr>
          <w:p w14:paraId="1BBC2E20">
            <w:pPr>
              <w:pStyle w:val="26"/>
              <w:spacing w:after="100"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杂草也</w:t>
            </w:r>
          </w:p>
          <w:p w14:paraId="53E2072E">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盖率</w:t>
            </w:r>
          </w:p>
        </w:tc>
        <w:tc>
          <w:tcPr>
            <w:tcW w:w="1950" w:type="dxa"/>
            <w:tcBorders>
              <w:top w:val="single" w:color="auto" w:sz="4" w:space="0"/>
              <w:left w:val="single" w:color="auto" w:sz="4" w:space="0"/>
            </w:tcBorders>
            <w:shd w:val="clear" w:color="auto" w:fill="FFFFFF"/>
            <w:noWrap w:val="0"/>
            <w:vAlign w:val="center"/>
          </w:tcPr>
          <w:p w14:paraId="16877EB3">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lang w:val="en-US" w:eastAsia="en-US" w:bidi="en-US"/>
              </w:rPr>
              <w:t>2%</w:t>
            </w:r>
          </w:p>
        </w:tc>
        <w:tc>
          <w:tcPr>
            <w:tcW w:w="1860" w:type="dxa"/>
            <w:tcBorders>
              <w:top w:val="single" w:color="auto" w:sz="4" w:space="0"/>
              <w:left w:val="single" w:color="auto" w:sz="4" w:space="0"/>
            </w:tcBorders>
            <w:shd w:val="clear" w:color="auto" w:fill="FFFFFF"/>
            <w:noWrap w:val="0"/>
            <w:vAlign w:val="center"/>
          </w:tcPr>
          <w:p w14:paraId="350609B4">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5%</w:t>
            </w:r>
          </w:p>
        </w:tc>
        <w:tc>
          <w:tcPr>
            <w:tcW w:w="2343" w:type="dxa"/>
            <w:tcBorders>
              <w:top w:val="single" w:color="auto" w:sz="4" w:space="0"/>
              <w:left w:val="single" w:color="auto" w:sz="4" w:space="0"/>
              <w:right w:val="single" w:color="auto" w:sz="4" w:space="0"/>
            </w:tcBorders>
            <w:shd w:val="clear" w:color="auto" w:fill="FFFFFF"/>
            <w:noWrap w:val="0"/>
            <w:vAlign w:val="center"/>
          </w:tcPr>
          <w:p w14:paraId="43806526">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10%</w:t>
            </w:r>
          </w:p>
        </w:tc>
      </w:tr>
      <w:tr w14:paraId="422AEE34">
        <w:tblPrEx>
          <w:tblCellMar>
            <w:top w:w="0" w:type="dxa"/>
            <w:left w:w="10" w:type="dxa"/>
            <w:bottom w:w="0" w:type="dxa"/>
            <w:right w:w="10" w:type="dxa"/>
          </w:tblCellMar>
        </w:tblPrEx>
        <w:trPr>
          <w:trHeight w:val="780" w:hRule="exact"/>
          <w:jc w:val="center"/>
        </w:trPr>
        <w:tc>
          <w:tcPr>
            <w:tcW w:w="760" w:type="dxa"/>
            <w:tcBorders>
              <w:top w:val="single" w:color="auto" w:sz="4" w:space="0"/>
              <w:left w:val="single" w:color="auto" w:sz="4" w:space="0"/>
              <w:bottom w:val="single" w:color="auto" w:sz="4" w:space="0"/>
            </w:tcBorders>
            <w:shd w:val="clear" w:color="auto" w:fill="FFFFFF"/>
            <w:noWrap w:val="0"/>
            <w:vAlign w:val="center"/>
          </w:tcPr>
          <w:p w14:paraId="585F1343">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6</w:t>
            </w:r>
          </w:p>
        </w:tc>
        <w:tc>
          <w:tcPr>
            <w:tcW w:w="1295" w:type="dxa"/>
            <w:tcBorders>
              <w:top w:val="single" w:color="auto" w:sz="4" w:space="0"/>
              <w:left w:val="single" w:color="auto" w:sz="4" w:space="0"/>
              <w:bottom w:val="single" w:color="auto" w:sz="4" w:space="0"/>
            </w:tcBorders>
            <w:shd w:val="clear" w:color="auto" w:fill="FFFFFF"/>
            <w:noWrap w:val="0"/>
            <w:vAlign w:val="center"/>
          </w:tcPr>
          <w:p w14:paraId="32F404F2">
            <w:pPr>
              <w:pStyle w:val="26"/>
              <w:spacing w:after="100"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补植完成</w:t>
            </w:r>
          </w:p>
          <w:p w14:paraId="07DF7041">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时间</w:t>
            </w:r>
          </w:p>
        </w:tc>
        <w:tc>
          <w:tcPr>
            <w:tcW w:w="1950" w:type="dxa"/>
            <w:tcBorders>
              <w:top w:val="single" w:color="auto" w:sz="4" w:space="0"/>
              <w:left w:val="single" w:color="auto" w:sz="4" w:space="0"/>
              <w:bottom w:val="single" w:color="auto" w:sz="4" w:space="0"/>
            </w:tcBorders>
            <w:shd w:val="clear" w:color="auto" w:fill="FFFFFF"/>
            <w:noWrap w:val="0"/>
            <w:vAlign w:val="center"/>
          </w:tcPr>
          <w:p w14:paraId="33CEEB2F">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rPr>
              <w:t>3d</w:t>
            </w:r>
          </w:p>
        </w:tc>
        <w:tc>
          <w:tcPr>
            <w:tcW w:w="1860" w:type="dxa"/>
            <w:tcBorders>
              <w:top w:val="single" w:color="auto" w:sz="4" w:space="0"/>
              <w:left w:val="single" w:color="auto" w:sz="4" w:space="0"/>
              <w:bottom w:val="single" w:color="auto" w:sz="4" w:space="0"/>
            </w:tcBorders>
            <w:shd w:val="clear" w:color="auto" w:fill="FFFFFF"/>
            <w:noWrap w:val="0"/>
            <w:vAlign w:val="center"/>
          </w:tcPr>
          <w:p w14:paraId="69499415">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bidi="en-US"/>
              </w:rPr>
              <w:t>≤</w:t>
            </w:r>
            <w:r>
              <w:rPr>
                <w:rFonts w:hint="eastAsia" w:ascii="宋体" w:hAnsi="宋体" w:eastAsia="宋体" w:cs="宋体"/>
                <w:sz w:val="20"/>
                <w:szCs w:val="20"/>
                <w:highlight w:val="none"/>
                <w:lang w:val="en-US" w:eastAsia="en-US" w:bidi="en-US"/>
              </w:rPr>
              <w:t>7d</w:t>
            </w:r>
          </w:p>
        </w:tc>
        <w:tc>
          <w:tcPr>
            <w:tcW w:w="234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697623">
            <w:pPr>
              <w:pStyle w:val="26"/>
              <w:spacing w:line="240" w:lineRule="auto"/>
              <w:ind w:firstLine="980" w:firstLineChars="49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bidi="en-US"/>
              </w:rPr>
              <w:t>≤1</w:t>
            </w:r>
            <w:r>
              <w:rPr>
                <w:rFonts w:hint="eastAsia" w:ascii="宋体" w:hAnsi="宋体" w:eastAsia="宋体" w:cs="宋体"/>
                <w:sz w:val="20"/>
                <w:szCs w:val="20"/>
                <w:highlight w:val="none"/>
                <w:lang w:val="en-US" w:eastAsia="en-US" w:bidi="en-US"/>
              </w:rPr>
              <w:t>0d</w:t>
            </w:r>
          </w:p>
        </w:tc>
      </w:tr>
    </w:tbl>
    <w:p w14:paraId="1A4908DC">
      <w:pPr>
        <w:jc w:val="center"/>
        <w:rPr>
          <w:rFonts w:hint="eastAsia" w:ascii="宋体" w:hAnsi="宋体" w:eastAsia="宋体" w:cs="宋体"/>
          <w:sz w:val="24"/>
          <w:szCs w:val="24"/>
          <w:highlight w:val="none"/>
        </w:rPr>
      </w:pPr>
    </w:p>
    <w:p w14:paraId="6962BEC6">
      <w:pPr>
        <w:jc w:val="center"/>
        <w:rPr>
          <w:rFonts w:hint="eastAsia" w:ascii="宋体" w:hAnsi="宋体" w:eastAsia="宋体" w:cs="宋体"/>
          <w:sz w:val="24"/>
          <w:szCs w:val="24"/>
          <w:highlight w:val="none"/>
        </w:rPr>
      </w:pPr>
    </w:p>
    <w:p w14:paraId="0FF2A6E0">
      <w:pPr>
        <w:jc w:val="center"/>
        <w:rPr>
          <w:rFonts w:hint="eastAsia" w:ascii="宋体" w:hAnsi="宋体" w:eastAsia="宋体" w:cs="宋体"/>
          <w:sz w:val="24"/>
          <w:szCs w:val="24"/>
          <w:highlight w:val="none"/>
        </w:rPr>
      </w:pPr>
    </w:p>
    <w:p w14:paraId="48114A1D">
      <w:pPr>
        <w:jc w:val="center"/>
        <w:rPr>
          <w:rFonts w:hint="eastAsia" w:ascii="宋体" w:hAnsi="宋体" w:eastAsia="宋体" w:cs="宋体"/>
          <w:sz w:val="24"/>
          <w:szCs w:val="24"/>
          <w:highlight w:val="none"/>
        </w:rPr>
      </w:pPr>
    </w:p>
    <w:p w14:paraId="2B957B23">
      <w:pPr>
        <w:jc w:val="center"/>
        <w:rPr>
          <w:rFonts w:hint="eastAsia" w:ascii="宋体" w:hAnsi="宋体" w:eastAsia="宋体" w:cs="宋体"/>
          <w:sz w:val="24"/>
          <w:szCs w:val="24"/>
          <w:highlight w:val="none"/>
        </w:rPr>
      </w:pPr>
    </w:p>
    <w:p w14:paraId="270C304D">
      <w:pPr>
        <w:jc w:val="center"/>
        <w:rPr>
          <w:rFonts w:hint="eastAsia" w:ascii="宋体" w:hAnsi="宋体" w:eastAsia="宋体" w:cs="宋体"/>
          <w:sz w:val="24"/>
          <w:szCs w:val="24"/>
          <w:highlight w:val="none"/>
        </w:rPr>
      </w:pPr>
    </w:p>
    <w:p w14:paraId="0BB8994F">
      <w:pPr>
        <w:jc w:val="center"/>
        <w:rPr>
          <w:rFonts w:hint="eastAsia" w:ascii="宋体" w:hAnsi="宋体" w:eastAsia="宋体" w:cs="宋体"/>
          <w:sz w:val="24"/>
          <w:szCs w:val="24"/>
          <w:highlight w:val="none"/>
        </w:rPr>
      </w:pPr>
    </w:p>
    <w:p w14:paraId="43F838BB">
      <w:pPr>
        <w:jc w:val="center"/>
        <w:rPr>
          <w:rFonts w:hint="eastAsia" w:ascii="宋体" w:hAnsi="宋体" w:eastAsia="宋体" w:cs="宋体"/>
          <w:sz w:val="24"/>
          <w:szCs w:val="24"/>
          <w:highlight w:val="none"/>
        </w:rPr>
      </w:pPr>
    </w:p>
    <w:p w14:paraId="30D06B37">
      <w:pPr>
        <w:jc w:val="center"/>
        <w:rPr>
          <w:rFonts w:hint="eastAsia" w:ascii="宋体" w:hAnsi="宋体" w:eastAsia="宋体" w:cs="宋体"/>
          <w:sz w:val="24"/>
          <w:szCs w:val="24"/>
          <w:highlight w:val="none"/>
        </w:rPr>
      </w:pPr>
    </w:p>
    <w:p w14:paraId="396AE59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附录C草坪养护质量等级</w:t>
      </w:r>
    </w:p>
    <w:p w14:paraId="7C9945A3">
      <w:pPr>
        <w:rPr>
          <w:rFonts w:hint="eastAsia" w:ascii="宋体" w:hAnsi="宋体" w:eastAsia="宋体" w:cs="宋体"/>
          <w:sz w:val="24"/>
          <w:szCs w:val="24"/>
          <w:highlight w:val="none"/>
        </w:rPr>
      </w:pPr>
    </w:p>
    <w:p w14:paraId="68D56353">
      <w:pPr>
        <w:rPr>
          <w:rFonts w:hint="eastAsia" w:ascii="宋体" w:hAnsi="宋体" w:eastAsia="宋体" w:cs="宋体"/>
          <w:sz w:val="24"/>
          <w:szCs w:val="24"/>
          <w:highlight w:val="none"/>
        </w:rPr>
      </w:pPr>
    </w:p>
    <w:tbl>
      <w:tblPr>
        <w:tblStyle w:val="14"/>
        <w:tblpPr w:leftFromText="181" w:rightFromText="181" w:vertAnchor="text" w:horzAnchor="page" w:tblpXSpec="center" w:tblpY="1"/>
        <w:tblOverlap w:val="never"/>
        <w:tblW w:w="8235" w:type="dxa"/>
        <w:jc w:val="center"/>
        <w:tblLayout w:type="fixed"/>
        <w:tblCellMar>
          <w:top w:w="0" w:type="dxa"/>
          <w:left w:w="10" w:type="dxa"/>
          <w:bottom w:w="0" w:type="dxa"/>
          <w:right w:w="10" w:type="dxa"/>
        </w:tblCellMar>
      </w:tblPr>
      <w:tblGrid>
        <w:gridCol w:w="835"/>
        <w:gridCol w:w="830"/>
        <w:gridCol w:w="2160"/>
        <w:gridCol w:w="2385"/>
        <w:gridCol w:w="2025"/>
      </w:tblGrid>
      <w:tr w14:paraId="657388C4">
        <w:tblPrEx>
          <w:tblCellMar>
            <w:top w:w="0" w:type="dxa"/>
            <w:left w:w="10" w:type="dxa"/>
            <w:bottom w:w="0" w:type="dxa"/>
            <w:right w:w="10" w:type="dxa"/>
          </w:tblCellMar>
        </w:tblPrEx>
        <w:trPr>
          <w:trHeight w:val="375" w:hRule="exact"/>
          <w:jc w:val="center"/>
        </w:trPr>
        <w:tc>
          <w:tcPr>
            <w:tcW w:w="835" w:type="dxa"/>
            <w:vMerge w:val="restart"/>
            <w:tcBorders>
              <w:top w:val="single" w:color="auto" w:sz="4" w:space="0"/>
              <w:left w:val="single" w:color="auto" w:sz="4" w:space="0"/>
            </w:tcBorders>
            <w:shd w:val="clear" w:color="auto" w:fill="FFFFFF"/>
            <w:noWrap w:val="0"/>
            <w:vAlign w:val="center"/>
          </w:tcPr>
          <w:p w14:paraId="0EFA5AD2">
            <w:pPr>
              <w:pStyle w:val="26"/>
              <w:spacing w:line="315"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序 号</w:t>
            </w:r>
          </w:p>
        </w:tc>
        <w:tc>
          <w:tcPr>
            <w:tcW w:w="830" w:type="dxa"/>
            <w:vMerge w:val="restart"/>
            <w:tcBorders>
              <w:top w:val="single" w:color="auto" w:sz="4" w:space="0"/>
              <w:left w:val="single" w:color="auto" w:sz="4" w:space="0"/>
            </w:tcBorders>
            <w:shd w:val="clear" w:color="auto" w:fill="FFFFFF"/>
            <w:noWrap w:val="0"/>
            <w:vAlign w:val="center"/>
          </w:tcPr>
          <w:p w14:paraId="15805213">
            <w:pPr>
              <w:pStyle w:val="26"/>
              <w:spacing w:line="240" w:lineRule="auto"/>
              <w:ind w:firstLine="2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项目</w:t>
            </w:r>
          </w:p>
        </w:tc>
        <w:tc>
          <w:tcPr>
            <w:tcW w:w="6570" w:type="dxa"/>
            <w:gridSpan w:val="3"/>
            <w:tcBorders>
              <w:top w:val="single" w:color="auto" w:sz="4" w:space="0"/>
              <w:left w:val="single" w:color="auto" w:sz="4" w:space="0"/>
              <w:right w:val="single" w:color="auto" w:sz="4" w:space="0"/>
            </w:tcBorders>
            <w:shd w:val="clear" w:color="auto" w:fill="FFFFFF"/>
            <w:noWrap w:val="0"/>
            <w:vAlign w:val="center"/>
          </w:tcPr>
          <w:p w14:paraId="257CE779">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质</w:t>
            </w:r>
            <w:r>
              <w:rPr>
                <w:rFonts w:hint="eastAsia" w:ascii="宋体" w:hAnsi="宋体" w:eastAsia="宋体" w:cs="宋体"/>
                <w:sz w:val="20"/>
                <w:szCs w:val="20"/>
                <w:highlight w:val="none"/>
                <w:lang w:val="en-US" w:eastAsia="zh-CN"/>
              </w:rPr>
              <w:t>量</w:t>
            </w:r>
            <w:r>
              <w:rPr>
                <w:rFonts w:hint="eastAsia" w:ascii="宋体" w:hAnsi="宋体" w:eastAsia="宋体" w:cs="宋体"/>
                <w:sz w:val="20"/>
                <w:szCs w:val="20"/>
                <w:highlight w:val="none"/>
              </w:rPr>
              <w:t>要求</w:t>
            </w:r>
          </w:p>
        </w:tc>
      </w:tr>
      <w:tr w14:paraId="5812B592">
        <w:tblPrEx>
          <w:tblCellMar>
            <w:top w:w="0" w:type="dxa"/>
            <w:left w:w="10" w:type="dxa"/>
            <w:bottom w:w="0" w:type="dxa"/>
            <w:right w:w="10" w:type="dxa"/>
          </w:tblCellMar>
        </w:tblPrEx>
        <w:trPr>
          <w:trHeight w:val="375" w:hRule="exact"/>
          <w:jc w:val="center"/>
        </w:trPr>
        <w:tc>
          <w:tcPr>
            <w:tcW w:w="835" w:type="dxa"/>
            <w:vMerge w:val="continue"/>
            <w:tcBorders>
              <w:left w:val="single" w:color="auto" w:sz="4" w:space="0"/>
            </w:tcBorders>
            <w:shd w:val="clear" w:color="auto" w:fill="FFFFFF"/>
            <w:noWrap w:val="0"/>
            <w:vAlign w:val="center"/>
          </w:tcPr>
          <w:p w14:paraId="255E0731">
            <w:pPr>
              <w:jc w:val="left"/>
              <w:rPr>
                <w:rFonts w:hint="eastAsia" w:ascii="宋体" w:hAnsi="宋体" w:eastAsia="宋体" w:cs="宋体"/>
                <w:sz w:val="20"/>
                <w:szCs w:val="20"/>
                <w:highlight w:val="none"/>
              </w:rPr>
            </w:pPr>
          </w:p>
        </w:tc>
        <w:tc>
          <w:tcPr>
            <w:tcW w:w="830" w:type="dxa"/>
            <w:vMerge w:val="continue"/>
            <w:tcBorders>
              <w:left w:val="single" w:color="auto" w:sz="4" w:space="0"/>
            </w:tcBorders>
            <w:shd w:val="clear" w:color="auto" w:fill="FFFFFF"/>
            <w:noWrap w:val="0"/>
            <w:vAlign w:val="center"/>
          </w:tcPr>
          <w:p w14:paraId="7B022671">
            <w:pPr>
              <w:jc w:val="left"/>
              <w:rPr>
                <w:rFonts w:hint="eastAsia" w:ascii="宋体" w:hAnsi="宋体" w:eastAsia="宋体" w:cs="宋体"/>
                <w:sz w:val="20"/>
                <w:szCs w:val="20"/>
                <w:highlight w:val="none"/>
              </w:rPr>
            </w:pPr>
          </w:p>
        </w:tc>
        <w:tc>
          <w:tcPr>
            <w:tcW w:w="2160" w:type="dxa"/>
            <w:tcBorders>
              <w:top w:val="single" w:color="auto" w:sz="4" w:space="0"/>
              <w:left w:val="single" w:color="auto" w:sz="4" w:space="0"/>
            </w:tcBorders>
            <w:shd w:val="clear" w:color="auto" w:fill="FFFFFF"/>
            <w:noWrap w:val="0"/>
            <w:vAlign w:val="center"/>
          </w:tcPr>
          <w:p w14:paraId="6E499119">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一</w:t>
            </w:r>
            <w:r>
              <w:rPr>
                <w:rFonts w:hint="eastAsia" w:ascii="宋体" w:hAnsi="宋体" w:eastAsia="宋体" w:cs="宋体"/>
                <w:sz w:val="20"/>
                <w:szCs w:val="20"/>
                <w:highlight w:val="none"/>
              </w:rPr>
              <w:t>级</w:t>
            </w:r>
          </w:p>
        </w:tc>
        <w:tc>
          <w:tcPr>
            <w:tcW w:w="2385" w:type="dxa"/>
            <w:tcBorders>
              <w:top w:val="single" w:color="auto" w:sz="4" w:space="0"/>
              <w:left w:val="single" w:color="auto" w:sz="4" w:space="0"/>
            </w:tcBorders>
            <w:shd w:val="clear" w:color="auto" w:fill="FFFFFF"/>
            <w:noWrap w:val="0"/>
            <w:vAlign w:val="center"/>
          </w:tcPr>
          <w:p w14:paraId="7530A252">
            <w:pPr>
              <w:pStyle w:val="26"/>
              <w:spacing w:line="240" w:lineRule="auto"/>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二</w:t>
            </w:r>
            <w:r>
              <w:rPr>
                <w:rFonts w:hint="eastAsia" w:ascii="宋体" w:hAnsi="宋体" w:eastAsia="宋体" w:cs="宋体"/>
                <w:sz w:val="20"/>
                <w:szCs w:val="20"/>
                <w:highlight w:val="none"/>
                <w:lang w:val="en-US" w:eastAsia="zh-CN"/>
              </w:rPr>
              <w:t>级</w:t>
            </w:r>
          </w:p>
        </w:tc>
        <w:tc>
          <w:tcPr>
            <w:tcW w:w="2025" w:type="dxa"/>
            <w:tcBorders>
              <w:top w:val="single" w:color="auto" w:sz="4" w:space="0"/>
              <w:left w:val="single" w:color="auto" w:sz="4" w:space="0"/>
              <w:right w:val="single" w:color="auto" w:sz="4" w:space="0"/>
            </w:tcBorders>
            <w:shd w:val="clear" w:color="auto" w:fill="FFFFFF"/>
            <w:noWrap w:val="0"/>
            <w:vAlign w:val="center"/>
          </w:tcPr>
          <w:p w14:paraId="007D3340">
            <w:pPr>
              <w:pStyle w:val="26"/>
              <w:spacing w:line="24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三级</w:t>
            </w:r>
          </w:p>
        </w:tc>
      </w:tr>
      <w:tr w14:paraId="10A2781F">
        <w:tblPrEx>
          <w:tblCellMar>
            <w:top w:w="0" w:type="dxa"/>
            <w:left w:w="10" w:type="dxa"/>
            <w:bottom w:w="0" w:type="dxa"/>
            <w:right w:w="10" w:type="dxa"/>
          </w:tblCellMar>
        </w:tblPrEx>
        <w:trPr>
          <w:trHeight w:val="2300" w:hRule="exact"/>
          <w:jc w:val="center"/>
        </w:trPr>
        <w:tc>
          <w:tcPr>
            <w:tcW w:w="835" w:type="dxa"/>
            <w:tcBorders>
              <w:top w:val="single" w:color="auto" w:sz="4" w:space="0"/>
              <w:left w:val="single" w:color="auto" w:sz="4" w:space="0"/>
            </w:tcBorders>
            <w:shd w:val="clear" w:color="auto" w:fill="FFFFFF"/>
            <w:noWrap w:val="0"/>
            <w:vAlign w:val="center"/>
          </w:tcPr>
          <w:p w14:paraId="062C4684">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1</w:t>
            </w:r>
          </w:p>
        </w:tc>
        <w:tc>
          <w:tcPr>
            <w:tcW w:w="830" w:type="dxa"/>
            <w:tcBorders>
              <w:top w:val="single" w:color="auto" w:sz="4" w:space="0"/>
              <w:left w:val="single" w:color="auto" w:sz="4" w:space="0"/>
            </w:tcBorders>
            <w:shd w:val="clear" w:color="auto" w:fill="FFFFFF"/>
            <w:noWrap w:val="0"/>
            <w:vAlign w:val="center"/>
          </w:tcPr>
          <w:p w14:paraId="50B72A02">
            <w:pPr>
              <w:pStyle w:val="26"/>
              <w:spacing w:line="240" w:lineRule="auto"/>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整体效果</w:t>
            </w:r>
          </w:p>
        </w:tc>
        <w:tc>
          <w:tcPr>
            <w:tcW w:w="2160" w:type="dxa"/>
            <w:tcBorders>
              <w:top w:val="single" w:color="auto" w:sz="4" w:space="0"/>
              <w:left w:val="single" w:color="auto" w:sz="4" w:space="0"/>
            </w:tcBorders>
            <w:shd w:val="clear" w:color="auto" w:fill="FFFFFF"/>
            <w:noWrap w:val="0"/>
            <w:vAlign w:val="center"/>
          </w:tcPr>
          <w:p w14:paraId="1BA0EB88">
            <w:pPr>
              <w:pStyle w:val="26"/>
              <w:spacing w:line="249" w:lineRule="exact"/>
              <w:ind w:firstLine="260"/>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1）成坪高度应符 合现行国家标准</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主</w:t>
            </w:r>
            <w:r>
              <w:rPr>
                <w:rFonts w:hint="eastAsia" w:ascii="宋体" w:hAnsi="宋体" w:eastAsia="宋体" w:cs="宋体"/>
                <w:sz w:val="20"/>
                <w:szCs w:val="20"/>
                <w:highlight w:val="none"/>
              </w:rPr>
              <w:t>要花卉产品等级第7部分：草坪</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 xml:space="preserve"> </w:t>
            </w:r>
            <w:r>
              <w:rPr>
                <w:rFonts w:hint="eastAsia" w:ascii="宋体" w:hAnsi="宋体" w:eastAsia="宋体" w:cs="宋体"/>
                <w:sz w:val="20"/>
                <w:szCs w:val="20"/>
                <w:highlight w:val="none"/>
                <w:lang w:val="en-US" w:eastAsia="zh-CN" w:bidi="en-US"/>
              </w:rPr>
              <w:t>0B T 18247.7</w:t>
            </w:r>
            <w:r>
              <w:rPr>
                <w:rFonts w:hint="eastAsia" w:ascii="宋体" w:hAnsi="宋体" w:eastAsia="宋体" w:cs="宋体"/>
                <w:sz w:val="20"/>
                <w:szCs w:val="20"/>
                <w:highlight w:val="none"/>
              </w:rPr>
              <w:t>中开放型</w:t>
            </w:r>
            <w:r>
              <w:rPr>
                <w:rFonts w:hint="eastAsia" w:ascii="宋体" w:hAnsi="宋体" w:eastAsia="宋体" w:cs="宋体"/>
                <w:sz w:val="20"/>
                <w:szCs w:val="20"/>
                <w:highlight w:val="none"/>
                <w:lang w:val="en-US" w:eastAsia="zh-CN"/>
              </w:rPr>
              <w:t>绿地草坪一级标准的</w:t>
            </w:r>
            <w:r>
              <w:rPr>
                <w:rFonts w:hint="eastAsia" w:ascii="宋体" w:hAnsi="宋体" w:eastAsia="宋体" w:cs="宋体"/>
                <w:sz w:val="20"/>
                <w:szCs w:val="20"/>
                <w:highlight w:val="none"/>
              </w:rPr>
              <w:t>要求</w:t>
            </w:r>
            <w:r>
              <w:rPr>
                <w:rFonts w:hint="eastAsia" w:ascii="宋体" w:hAnsi="宋体" w:eastAsia="宋体" w:cs="宋体"/>
                <w:sz w:val="20"/>
                <w:szCs w:val="20"/>
                <w:highlight w:val="none"/>
                <w:lang w:eastAsia="zh-CN"/>
              </w:rPr>
              <w:t>；</w:t>
            </w:r>
          </w:p>
          <w:p w14:paraId="583FA392">
            <w:pPr>
              <w:pStyle w:val="26"/>
              <w:spacing w:line="249"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2）修</w:t>
            </w:r>
            <w:r>
              <w:rPr>
                <w:rFonts w:hint="eastAsia" w:ascii="宋体" w:hAnsi="宋体" w:eastAsia="宋体" w:cs="宋体"/>
                <w:sz w:val="20"/>
                <w:szCs w:val="20"/>
                <w:highlight w:val="none"/>
                <w:lang w:val="en-US" w:eastAsia="zh-CN"/>
              </w:rPr>
              <w:t>剪</w:t>
            </w:r>
            <w:r>
              <w:rPr>
                <w:rFonts w:hint="eastAsia" w:ascii="宋体" w:hAnsi="宋体" w:eastAsia="宋体" w:cs="宋体"/>
                <w:sz w:val="20"/>
                <w:szCs w:val="20"/>
                <w:highlight w:val="none"/>
              </w:rPr>
              <w:t xml:space="preserve">后无残留 </w:t>
            </w:r>
            <w:r>
              <w:rPr>
                <w:rFonts w:hint="eastAsia" w:ascii="宋体" w:hAnsi="宋体" w:eastAsia="宋体" w:cs="宋体"/>
                <w:sz w:val="20"/>
                <w:szCs w:val="20"/>
                <w:highlight w:val="none"/>
                <w:lang w:val="zh-CN" w:eastAsia="zh-CN" w:bidi="zh-CN"/>
              </w:rPr>
              <w:t>草屑，</w:t>
            </w:r>
            <w:r>
              <w:rPr>
                <w:rFonts w:hint="eastAsia" w:ascii="宋体" w:hAnsi="宋体" w:eastAsia="宋体" w:cs="宋体"/>
                <w:sz w:val="20"/>
                <w:szCs w:val="20"/>
                <w:highlight w:val="none"/>
                <w:lang w:val="en-US" w:eastAsia="zh-CN"/>
              </w:rPr>
              <w:t>剪</w:t>
            </w:r>
            <w:r>
              <w:rPr>
                <w:rFonts w:hint="eastAsia" w:ascii="宋体" w:hAnsi="宋体" w:eastAsia="宋体" w:cs="宋体"/>
                <w:sz w:val="20"/>
                <w:szCs w:val="20"/>
                <w:highlight w:val="none"/>
              </w:rPr>
              <w:t>口无焦枯、 撕裂现象</w:t>
            </w:r>
          </w:p>
        </w:tc>
        <w:tc>
          <w:tcPr>
            <w:tcW w:w="2385" w:type="dxa"/>
            <w:tcBorders>
              <w:top w:val="single" w:color="auto" w:sz="4" w:space="0"/>
              <w:left w:val="single" w:color="auto" w:sz="4" w:space="0"/>
            </w:tcBorders>
            <w:shd w:val="clear" w:color="auto" w:fill="FFFFFF"/>
            <w:noWrap w:val="0"/>
            <w:vAlign w:val="center"/>
          </w:tcPr>
          <w:p w14:paraId="0D8B2BB3">
            <w:pPr>
              <w:pStyle w:val="26"/>
              <w:spacing w:line="249" w:lineRule="exact"/>
              <w:ind w:firstLine="260"/>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1）成坪高度应符 合现行国家标准</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主</w:t>
            </w:r>
            <w:r>
              <w:rPr>
                <w:rFonts w:hint="eastAsia" w:ascii="宋体" w:hAnsi="宋体" w:eastAsia="宋体" w:cs="宋体"/>
                <w:sz w:val="20"/>
                <w:szCs w:val="20"/>
                <w:highlight w:val="none"/>
              </w:rPr>
              <w:t>要花卉产品等级第7部分：草坪</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 xml:space="preserve"> </w:t>
            </w:r>
            <w:r>
              <w:rPr>
                <w:rFonts w:hint="eastAsia" w:ascii="宋体" w:hAnsi="宋体" w:eastAsia="宋体" w:cs="宋体"/>
                <w:sz w:val="20"/>
                <w:szCs w:val="20"/>
                <w:highlight w:val="none"/>
                <w:lang w:val="en-US" w:eastAsia="zh-CN" w:bidi="en-US"/>
              </w:rPr>
              <w:t>0B T 18247.7</w:t>
            </w:r>
            <w:r>
              <w:rPr>
                <w:rFonts w:hint="eastAsia" w:ascii="宋体" w:hAnsi="宋体" w:eastAsia="宋体" w:cs="宋体"/>
                <w:sz w:val="20"/>
                <w:szCs w:val="20"/>
                <w:highlight w:val="none"/>
              </w:rPr>
              <w:t>中开放型</w:t>
            </w:r>
            <w:r>
              <w:rPr>
                <w:rFonts w:hint="eastAsia" w:ascii="宋体" w:hAnsi="宋体" w:eastAsia="宋体" w:cs="宋体"/>
                <w:sz w:val="20"/>
                <w:szCs w:val="20"/>
                <w:highlight w:val="none"/>
                <w:lang w:val="en-US" w:eastAsia="zh-CN"/>
              </w:rPr>
              <w:t>绿地草坪二级标准的</w:t>
            </w:r>
            <w:r>
              <w:rPr>
                <w:rFonts w:hint="eastAsia" w:ascii="宋体" w:hAnsi="宋体" w:eastAsia="宋体" w:cs="宋体"/>
                <w:sz w:val="20"/>
                <w:szCs w:val="20"/>
                <w:highlight w:val="none"/>
              </w:rPr>
              <w:t>要求</w:t>
            </w:r>
            <w:r>
              <w:rPr>
                <w:rFonts w:hint="eastAsia" w:ascii="宋体" w:hAnsi="宋体" w:eastAsia="宋体" w:cs="宋体"/>
                <w:sz w:val="20"/>
                <w:szCs w:val="20"/>
                <w:highlight w:val="none"/>
                <w:lang w:eastAsia="zh-CN"/>
              </w:rPr>
              <w:t>；</w:t>
            </w:r>
          </w:p>
          <w:p w14:paraId="1A4F076A">
            <w:pPr>
              <w:pStyle w:val="26"/>
              <w:spacing w:line="249"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2</w:t>
            </w: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修</w:t>
            </w:r>
            <w:r>
              <w:rPr>
                <w:rFonts w:hint="eastAsia" w:ascii="宋体" w:hAnsi="宋体" w:eastAsia="宋体" w:cs="宋体"/>
                <w:sz w:val="20"/>
                <w:szCs w:val="20"/>
                <w:highlight w:val="none"/>
                <w:lang w:val="en-US" w:eastAsia="zh-CN"/>
              </w:rPr>
              <w:t>剪</w:t>
            </w:r>
            <w:r>
              <w:rPr>
                <w:rFonts w:hint="eastAsia" w:ascii="宋体" w:hAnsi="宋体" w:eastAsia="宋体" w:cs="宋体"/>
                <w:sz w:val="20"/>
                <w:szCs w:val="20"/>
                <w:highlight w:val="none"/>
              </w:rPr>
              <w:t>后无明显残留</w:t>
            </w:r>
            <w:r>
              <w:rPr>
                <w:rFonts w:hint="eastAsia" w:ascii="宋体" w:hAnsi="宋体" w:eastAsia="宋体" w:cs="宋体"/>
                <w:sz w:val="20"/>
                <w:szCs w:val="20"/>
                <w:highlight w:val="none"/>
                <w:lang w:val="zh-CN" w:eastAsia="zh-CN" w:bidi="zh-CN"/>
              </w:rPr>
              <w:t>草屑，</w:t>
            </w:r>
            <w:r>
              <w:rPr>
                <w:rFonts w:hint="eastAsia" w:ascii="宋体" w:hAnsi="宋体" w:eastAsia="宋体" w:cs="宋体"/>
                <w:sz w:val="20"/>
                <w:szCs w:val="20"/>
                <w:highlight w:val="none"/>
                <w:lang w:val="en-US" w:eastAsia="zh-CN" w:bidi="zh-CN"/>
              </w:rPr>
              <w:t>剪口</w:t>
            </w:r>
            <w:r>
              <w:rPr>
                <w:rFonts w:hint="eastAsia" w:ascii="宋体" w:hAnsi="宋体" w:eastAsia="宋体" w:cs="宋体"/>
                <w:sz w:val="20"/>
                <w:szCs w:val="20"/>
                <w:highlight w:val="none"/>
              </w:rPr>
              <w:t>无明显撕裂现象</w:t>
            </w:r>
          </w:p>
        </w:tc>
        <w:tc>
          <w:tcPr>
            <w:tcW w:w="2025" w:type="dxa"/>
            <w:tcBorders>
              <w:top w:val="single" w:color="auto" w:sz="4" w:space="0"/>
              <w:left w:val="single" w:color="auto" w:sz="4" w:space="0"/>
              <w:right w:val="single" w:color="auto" w:sz="4" w:space="0"/>
            </w:tcBorders>
            <w:shd w:val="clear" w:color="auto" w:fill="FFFFFF"/>
            <w:noWrap w:val="0"/>
            <w:vAlign w:val="center"/>
          </w:tcPr>
          <w:p w14:paraId="70C87E6A">
            <w:pPr>
              <w:pStyle w:val="26"/>
              <w:spacing w:line="249" w:lineRule="exact"/>
              <w:ind w:firstLine="260"/>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1）成坪高度应符 合现行国家标准</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主</w:t>
            </w:r>
            <w:r>
              <w:rPr>
                <w:rFonts w:hint="eastAsia" w:ascii="宋体" w:hAnsi="宋体" w:eastAsia="宋体" w:cs="宋体"/>
                <w:sz w:val="20"/>
                <w:szCs w:val="20"/>
                <w:highlight w:val="none"/>
              </w:rPr>
              <w:t>要花卉产品等级第7部分：草坪</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 xml:space="preserve"> </w:t>
            </w:r>
            <w:r>
              <w:rPr>
                <w:rFonts w:hint="eastAsia" w:ascii="宋体" w:hAnsi="宋体" w:eastAsia="宋体" w:cs="宋体"/>
                <w:sz w:val="20"/>
                <w:szCs w:val="20"/>
                <w:highlight w:val="none"/>
                <w:lang w:val="en-US" w:eastAsia="zh-CN" w:bidi="en-US"/>
              </w:rPr>
              <w:t>0B T 18247.7</w:t>
            </w:r>
            <w:r>
              <w:rPr>
                <w:rFonts w:hint="eastAsia" w:ascii="宋体" w:hAnsi="宋体" w:eastAsia="宋体" w:cs="宋体"/>
                <w:sz w:val="20"/>
                <w:szCs w:val="20"/>
                <w:highlight w:val="none"/>
              </w:rPr>
              <w:t>中开放型</w:t>
            </w:r>
            <w:r>
              <w:rPr>
                <w:rFonts w:hint="eastAsia" w:ascii="宋体" w:hAnsi="宋体" w:eastAsia="宋体" w:cs="宋体"/>
                <w:sz w:val="20"/>
                <w:szCs w:val="20"/>
                <w:highlight w:val="none"/>
                <w:lang w:val="en-US" w:eastAsia="zh-CN"/>
              </w:rPr>
              <w:t>绿地草坪三级标准的</w:t>
            </w:r>
            <w:r>
              <w:rPr>
                <w:rFonts w:hint="eastAsia" w:ascii="宋体" w:hAnsi="宋体" w:eastAsia="宋体" w:cs="宋体"/>
                <w:sz w:val="20"/>
                <w:szCs w:val="20"/>
                <w:highlight w:val="none"/>
              </w:rPr>
              <w:t>要求</w:t>
            </w:r>
            <w:r>
              <w:rPr>
                <w:rFonts w:hint="eastAsia" w:ascii="宋体" w:hAnsi="宋体" w:eastAsia="宋体" w:cs="宋体"/>
                <w:sz w:val="20"/>
                <w:szCs w:val="20"/>
                <w:highlight w:val="none"/>
                <w:lang w:eastAsia="zh-CN"/>
              </w:rPr>
              <w:t>；</w:t>
            </w:r>
          </w:p>
          <w:p w14:paraId="0AD7A810">
            <w:pPr>
              <w:pStyle w:val="26"/>
              <w:spacing w:line="246"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2</w:t>
            </w: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修</w:t>
            </w:r>
            <w:r>
              <w:rPr>
                <w:rFonts w:hint="eastAsia" w:ascii="宋体" w:hAnsi="宋体" w:eastAsia="宋体" w:cs="宋体"/>
                <w:sz w:val="20"/>
                <w:szCs w:val="20"/>
                <w:highlight w:val="none"/>
                <w:lang w:val="en-US" w:eastAsia="zh-CN"/>
              </w:rPr>
              <w:t>剪</w:t>
            </w:r>
            <w:r>
              <w:rPr>
                <w:rFonts w:hint="eastAsia" w:ascii="宋体" w:hAnsi="宋体" w:eastAsia="宋体" w:cs="宋体"/>
                <w:sz w:val="20"/>
                <w:szCs w:val="20"/>
                <w:highlight w:val="none"/>
              </w:rPr>
              <w:t>后无明显残留</w:t>
            </w:r>
            <w:r>
              <w:rPr>
                <w:rFonts w:hint="eastAsia" w:ascii="宋体" w:hAnsi="宋体" w:eastAsia="宋体" w:cs="宋体"/>
                <w:sz w:val="20"/>
                <w:szCs w:val="20"/>
                <w:highlight w:val="none"/>
                <w:lang w:val="zh-CN" w:eastAsia="zh-CN" w:bidi="zh-CN"/>
              </w:rPr>
              <w:t>草屑，</w:t>
            </w:r>
            <w:r>
              <w:rPr>
                <w:rFonts w:hint="eastAsia" w:ascii="宋体" w:hAnsi="宋体" w:eastAsia="宋体" w:cs="宋体"/>
                <w:sz w:val="20"/>
                <w:szCs w:val="20"/>
                <w:highlight w:val="none"/>
                <w:lang w:val="en-US" w:eastAsia="zh-CN" w:bidi="zh-CN"/>
              </w:rPr>
              <w:t>剪口</w:t>
            </w:r>
            <w:r>
              <w:rPr>
                <w:rFonts w:hint="eastAsia" w:ascii="宋体" w:hAnsi="宋体" w:eastAsia="宋体" w:cs="宋体"/>
                <w:sz w:val="20"/>
                <w:szCs w:val="20"/>
                <w:highlight w:val="none"/>
              </w:rPr>
              <w:t>无明显撕裂现象</w:t>
            </w:r>
          </w:p>
        </w:tc>
      </w:tr>
      <w:tr w14:paraId="58CBCFD5">
        <w:tblPrEx>
          <w:tblCellMar>
            <w:top w:w="0" w:type="dxa"/>
            <w:left w:w="10" w:type="dxa"/>
            <w:bottom w:w="0" w:type="dxa"/>
            <w:right w:w="10" w:type="dxa"/>
          </w:tblCellMar>
        </w:tblPrEx>
        <w:trPr>
          <w:trHeight w:val="360" w:hRule="exact"/>
          <w:jc w:val="center"/>
        </w:trPr>
        <w:tc>
          <w:tcPr>
            <w:tcW w:w="835" w:type="dxa"/>
            <w:tcBorders>
              <w:top w:val="single" w:color="auto" w:sz="4" w:space="0"/>
              <w:left w:val="single" w:color="auto" w:sz="4" w:space="0"/>
            </w:tcBorders>
            <w:shd w:val="clear" w:color="auto" w:fill="FFFFFF"/>
            <w:noWrap w:val="0"/>
            <w:vAlign w:val="top"/>
          </w:tcPr>
          <w:p w14:paraId="4FF4CA7D">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2</w:t>
            </w:r>
          </w:p>
        </w:tc>
        <w:tc>
          <w:tcPr>
            <w:tcW w:w="830" w:type="dxa"/>
            <w:tcBorders>
              <w:top w:val="single" w:color="auto" w:sz="4" w:space="0"/>
              <w:left w:val="single" w:color="auto" w:sz="4" w:space="0"/>
            </w:tcBorders>
            <w:shd w:val="clear" w:color="auto" w:fill="FFFFFF"/>
            <w:noWrap w:val="0"/>
            <w:vAlign w:val="top"/>
          </w:tcPr>
          <w:p w14:paraId="2686CC66">
            <w:pPr>
              <w:pStyle w:val="26"/>
              <w:spacing w:line="240" w:lineRule="auto"/>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生长势</w:t>
            </w:r>
          </w:p>
        </w:tc>
        <w:tc>
          <w:tcPr>
            <w:tcW w:w="2160" w:type="dxa"/>
            <w:tcBorders>
              <w:top w:val="single" w:color="auto" w:sz="4" w:space="0"/>
              <w:left w:val="single" w:color="auto" w:sz="4" w:space="0"/>
            </w:tcBorders>
            <w:shd w:val="clear" w:color="auto" w:fill="FFFFFF"/>
            <w:noWrap w:val="0"/>
            <w:vAlign w:val="top"/>
          </w:tcPr>
          <w:p w14:paraId="1F778A95">
            <w:pPr>
              <w:pStyle w:val="26"/>
              <w:spacing w:line="240" w:lineRule="auto"/>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生长茂盛</w:t>
            </w:r>
          </w:p>
        </w:tc>
        <w:tc>
          <w:tcPr>
            <w:tcW w:w="2385" w:type="dxa"/>
            <w:tcBorders>
              <w:top w:val="single" w:color="auto" w:sz="4" w:space="0"/>
              <w:left w:val="single" w:color="auto" w:sz="4" w:space="0"/>
            </w:tcBorders>
            <w:shd w:val="clear" w:color="auto" w:fill="FFFFFF"/>
            <w:noWrap w:val="0"/>
            <w:vAlign w:val="top"/>
          </w:tcPr>
          <w:p w14:paraId="1F460A18">
            <w:pPr>
              <w:pStyle w:val="26"/>
              <w:spacing w:line="240" w:lineRule="auto"/>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生长良好</w:t>
            </w:r>
          </w:p>
        </w:tc>
        <w:tc>
          <w:tcPr>
            <w:tcW w:w="2025" w:type="dxa"/>
            <w:tcBorders>
              <w:top w:val="single" w:color="auto" w:sz="4" w:space="0"/>
              <w:left w:val="single" w:color="auto" w:sz="4" w:space="0"/>
              <w:right w:val="single" w:color="auto" w:sz="4" w:space="0"/>
            </w:tcBorders>
            <w:shd w:val="clear" w:color="auto" w:fill="FFFFFF"/>
            <w:noWrap w:val="0"/>
            <w:vAlign w:val="top"/>
          </w:tcPr>
          <w:p w14:paraId="753588F3">
            <w:pPr>
              <w:pStyle w:val="26"/>
              <w:spacing w:line="240" w:lineRule="auto"/>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生长基本正常</w:t>
            </w:r>
          </w:p>
        </w:tc>
      </w:tr>
      <w:tr w14:paraId="75E0FFB6">
        <w:tblPrEx>
          <w:tblCellMar>
            <w:top w:w="0" w:type="dxa"/>
            <w:left w:w="10" w:type="dxa"/>
            <w:bottom w:w="0" w:type="dxa"/>
            <w:right w:w="10" w:type="dxa"/>
          </w:tblCellMar>
        </w:tblPrEx>
        <w:trPr>
          <w:trHeight w:val="1080" w:hRule="exact"/>
          <w:jc w:val="center"/>
        </w:trPr>
        <w:tc>
          <w:tcPr>
            <w:tcW w:w="835" w:type="dxa"/>
            <w:tcBorders>
              <w:top w:val="single" w:color="auto" w:sz="4" w:space="0"/>
              <w:left w:val="single" w:color="auto" w:sz="4" w:space="0"/>
            </w:tcBorders>
            <w:shd w:val="clear" w:color="auto" w:fill="FFFFFF"/>
            <w:noWrap w:val="0"/>
            <w:vAlign w:val="center"/>
          </w:tcPr>
          <w:p w14:paraId="65D86D25">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3</w:t>
            </w:r>
          </w:p>
        </w:tc>
        <w:tc>
          <w:tcPr>
            <w:tcW w:w="830" w:type="dxa"/>
            <w:tcBorders>
              <w:top w:val="single" w:color="auto" w:sz="4" w:space="0"/>
              <w:left w:val="single" w:color="auto" w:sz="4" w:space="0"/>
            </w:tcBorders>
            <w:shd w:val="clear" w:color="auto" w:fill="FFFFFF"/>
            <w:noWrap w:val="0"/>
            <w:vAlign w:val="center"/>
          </w:tcPr>
          <w:p w14:paraId="1775B50D">
            <w:pPr>
              <w:pStyle w:val="26"/>
              <w:spacing w:line="240" w:lineRule="auto"/>
              <w:ind w:firstLine="200"/>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排</w:t>
            </w:r>
            <w:r>
              <w:rPr>
                <w:rFonts w:hint="eastAsia" w:ascii="宋体" w:hAnsi="宋体" w:eastAsia="宋体" w:cs="宋体"/>
                <w:sz w:val="20"/>
                <w:szCs w:val="20"/>
                <w:highlight w:val="none"/>
                <w:lang w:val="en-US" w:eastAsia="zh-CN" w:bidi="en-US"/>
              </w:rPr>
              <w:t>灌</w:t>
            </w:r>
          </w:p>
        </w:tc>
        <w:tc>
          <w:tcPr>
            <w:tcW w:w="2160" w:type="dxa"/>
            <w:tcBorders>
              <w:top w:val="single" w:color="auto" w:sz="4" w:space="0"/>
              <w:left w:val="single" w:color="auto" w:sz="4" w:space="0"/>
            </w:tcBorders>
            <w:shd w:val="clear" w:color="auto" w:fill="FFFFFF"/>
            <w:noWrap w:val="0"/>
            <w:vAlign w:val="center"/>
          </w:tcPr>
          <w:p w14:paraId="334D45F6">
            <w:pPr>
              <w:pStyle w:val="26"/>
              <w:spacing w:line="240" w:lineRule="exact"/>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（1</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暴雨</w:t>
            </w:r>
            <w:r>
              <w:rPr>
                <w:rFonts w:hint="eastAsia" w:ascii="宋体" w:hAnsi="宋体" w:eastAsia="宋体" w:cs="宋体"/>
                <w:sz w:val="20"/>
                <w:szCs w:val="20"/>
                <w:highlight w:val="none"/>
              </w:rPr>
              <w:t>后</w:t>
            </w:r>
            <w:r>
              <w:rPr>
                <w:rFonts w:hint="eastAsia" w:ascii="宋体" w:hAnsi="宋体" w:eastAsia="宋体" w:cs="宋体"/>
                <w:sz w:val="20"/>
                <w:szCs w:val="20"/>
                <w:highlight w:val="none"/>
                <w:lang w:val="en-US" w:eastAsia="zh-CN"/>
              </w:rPr>
              <w:t>0.5d</w:t>
            </w:r>
            <w:r>
              <w:rPr>
                <w:rFonts w:hint="eastAsia" w:ascii="宋体" w:hAnsi="宋体" w:eastAsia="宋体" w:cs="宋体"/>
                <w:sz w:val="20"/>
                <w:szCs w:val="20"/>
                <w:highlight w:val="none"/>
              </w:rPr>
              <w:t>内无</w:t>
            </w:r>
            <w:r>
              <w:rPr>
                <w:rFonts w:hint="eastAsia" w:ascii="宋体" w:hAnsi="宋体" w:eastAsia="宋体" w:cs="宋体"/>
                <w:sz w:val="20"/>
                <w:szCs w:val="20"/>
                <w:highlight w:val="none"/>
                <w:lang w:val="en-US" w:eastAsia="zh-CN"/>
              </w:rPr>
              <w:t>积</w:t>
            </w:r>
            <w:r>
              <w:rPr>
                <w:rFonts w:hint="eastAsia" w:ascii="宋体" w:hAnsi="宋体" w:eastAsia="宋体" w:cs="宋体"/>
                <w:sz w:val="20"/>
                <w:szCs w:val="20"/>
                <w:highlight w:val="none"/>
              </w:rPr>
              <w:t>水</w:t>
            </w:r>
            <w:r>
              <w:rPr>
                <w:rFonts w:hint="eastAsia" w:ascii="宋体" w:hAnsi="宋体" w:eastAsia="宋体" w:cs="宋体"/>
                <w:sz w:val="20"/>
                <w:szCs w:val="20"/>
                <w:highlight w:val="none"/>
                <w:lang w:eastAsia="zh-CN"/>
              </w:rPr>
              <w:t>；</w:t>
            </w:r>
          </w:p>
          <w:p w14:paraId="61A475FC">
            <w:pPr>
              <w:pStyle w:val="26"/>
              <w:spacing w:line="270"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w:t>
            </w:r>
            <w:r>
              <w:rPr>
                <w:rFonts w:hint="eastAsia" w:ascii="宋体" w:hAnsi="宋体" w:eastAsia="宋体" w:cs="宋体"/>
                <w:sz w:val="20"/>
                <w:szCs w:val="20"/>
                <w:highlight w:val="none"/>
                <w:lang w:val="en-US" w:eastAsia="zh-CN"/>
              </w:rPr>
              <w:t>草坪</w:t>
            </w:r>
            <w:r>
              <w:rPr>
                <w:rFonts w:hint="eastAsia" w:ascii="宋体" w:hAnsi="宋体" w:eastAsia="宋体" w:cs="宋体"/>
                <w:sz w:val="20"/>
                <w:szCs w:val="20"/>
                <w:highlight w:val="none"/>
              </w:rPr>
              <w:t xml:space="preserve">无失水萎 </w:t>
            </w:r>
            <w:r>
              <w:rPr>
                <w:rFonts w:hint="eastAsia" w:ascii="宋体" w:hAnsi="宋体" w:eastAsia="宋体" w:cs="宋体"/>
                <w:sz w:val="20"/>
                <w:szCs w:val="20"/>
                <w:highlight w:val="none"/>
                <w:lang w:val="en-US" w:eastAsia="zh-CN"/>
              </w:rPr>
              <w:t>蔫</w:t>
            </w:r>
            <w:r>
              <w:rPr>
                <w:rFonts w:hint="eastAsia" w:ascii="宋体" w:hAnsi="宋体" w:eastAsia="宋体" w:cs="宋体"/>
                <w:sz w:val="20"/>
                <w:szCs w:val="20"/>
                <w:highlight w:val="none"/>
              </w:rPr>
              <w:t>现象</w:t>
            </w:r>
          </w:p>
        </w:tc>
        <w:tc>
          <w:tcPr>
            <w:tcW w:w="2385" w:type="dxa"/>
            <w:tcBorders>
              <w:top w:val="single" w:color="auto" w:sz="4" w:space="0"/>
              <w:left w:val="single" w:color="auto" w:sz="4" w:space="0"/>
            </w:tcBorders>
            <w:shd w:val="clear" w:color="auto" w:fill="FFFFFF"/>
            <w:noWrap w:val="0"/>
            <w:vAlign w:val="center"/>
          </w:tcPr>
          <w:p w14:paraId="3D1BAD45">
            <w:pPr>
              <w:pStyle w:val="26"/>
              <w:spacing w:line="240" w:lineRule="exact"/>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（1</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暴雨</w:t>
            </w:r>
            <w:r>
              <w:rPr>
                <w:rFonts w:hint="eastAsia" w:ascii="宋体" w:hAnsi="宋体" w:eastAsia="宋体" w:cs="宋体"/>
                <w:sz w:val="20"/>
                <w:szCs w:val="20"/>
                <w:highlight w:val="none"/>
              </w:rPr>
              <w:t>后</w:t>
            </w:r>
            <w:r>
              <w:rPr>
                <w:rFonts w:hint="eastAsia" w:ascii="宋体" w:hAnsi="宋体" w:eastAsia="宋体" w:cs="宋体"/>
                <w:sz w:val="20"/>
                <w:szCs w:val="20"/>
                <w:highlight w:val="none"/>
                <w:lang w:val="en-US" w:eastAsia="zh-CN"/>
              </w:rPr>
              <w:t>0.5d</w:t>
            </w:r>
            <w:r>
              <w:rPr>
                <w:rFonts w:hint="eastAsia" w:ascii="宋体" w:hAnsi="宋体" w:eastAsia="宋体" w:cs="宋体"/>
                <w:sz w:val="20"/>
                <w:szCs w:val="20"/>
                <w:highlight w:val="none"/>
              </w:rPr>
              <w:t>内无</w:t>
            </w:r>
            <w:r>
              <w:rPr>
                <w:rFonts w:hint="eastAsia" w:ascii="宋体" w:hAnsi="宋体" w:eastAsia="宋体" w:cs="宋体"/>
                <w:sz w:val="20"/>
                <w:szCs w:val="20"/>
                <w:highlight w:val="none"/>
                <w:lang w:val="en-US" w:eastAsia="zh-CN"/>
              </w:rPr>
              <w:t>积</w:t>
            </w:r>
            <w:r>
              <w:rPr>
                <w:rFonts w:hint="eastAsia" w:ascii="宋体" w:hAnsi="宋体" w:eastAsia="宋体" w:cs="宋体"/>
                <w:sz w:val="20"/>
                <w:szCs w:val="20"/>
                <w:highlight w:val="none"/>
              </w:rPr>
              <w:t>水</w:t>
            </w:r>
            <w:r>
              <w:rPr>
                <w:rFonts w:hint="eastAsia" w:ascii="宋体" w:hAnsi="宋体" w:eastAsia="宋体" w:cs="宋体"/>
                <w:sz w:val="20"/>
                <w:szCs w:val="20"/>
                <w:highlight w:val="none"/>
                <w:lang w:eastAsia="zh-CN"/>
              </w:rPr>
              <w:t>；</w:t>
            </w:r>
          </w:p>
          <w:p w14:paraId="37C858D2">
            <w:pPr>
              <w:pStyle w:val="26"/>
              <w:spacing w:line="270"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w:t>
            </w:r>
            <w:r>
              <w:rPr>
                <w:rFonts w:hint="eastAsia" w:ascii="宋体" w:hAnsi="宋体" w:eastAsia="宋体" w:cs="宋体"/>
                <w:sz w:val="20"/>
                <w:szCs w:val="20"/>
                <w:highlight w:val="none"/>
                <w:lang w:val="en-US" w:eastAsia="zh-CN"/>
              </w:rPr>
              <w:t>草坪基本</w:t>
            </w:r>
            <w:r>
              <w:rPr>
                <w:rFonts w:hint="eastAsia" w:ascii="宋体" w:hAnsi="宋体" w:eastAsia="宋体" w:cs="宋体"/>
                <w:sz w:val="20"/>
                <w:szCs w:val="20"/>
                <w:highlight w:val="none"/>
              </w:rPr>
              <w:t>无失水萎</w:t>
            </w:r>
            <w:r>
              <w:rPr>
                <w:rFonts w:hint="eastAsia" w:ascii="宋体" w:hAnsi="宋体" w:eastAsia="宋体" w:cs="宋体"/>
                <w:sz w:val="20"/>
                <w:szCs w:val="20"/>
                <w:highlight w:val="none"/>
                <w:lang w:val="en-US" w:eastAsia="zh-CN"/>
              </w:rPr>
              <w:t>蔫</w:t>
            </w:r>
            <w:r>
              <w:rPr>
                <w:rFonts w:hint="eastAsia" w:ascii="宋体" w:hAnsi="宋体" w:eastAsia="宋体" w:cs="宋体"/>
                <w:sz w:val="20"/>
                <w:szCs w:val="20"/>
                <w:highlight w:val="none"/>
              </w:rPr>
              <w:t>现象</w:t>
            </w:r>
          </w:p>
        </w:tc>
        <w:tc>
          <w:tcPr>
            <w:tcW w:w="2025" w:type="dxa"/>
            <w:tcBorders>
              <w:top w:val="single" w:color="auto" w:sz="4" w:space="0"/>
              <w:left w:val="single" w:color="auto" w:sz="4" w:space="0"/>
              <w:right w:val="single" w:color="auto" w:sz="4" w:space="0"/>
            </w:tcBorders>
            <w:shd w:val="clear" w:color="auto" w:fill="FFFFFF"/>
            <w:noWrap w:val="0"/>
            <w:vAlign w:val="center"/>
          </w:tcPr>
          <w:p w14:paraId="32EA2DB1">
            <w:pPr>
              <w:pStyle w:val="26"/>
              <w:spacing w:line="240" w:lineRule="exact"/>
              <w:jc w:val="left"/>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1）暴雨后</w:t>
            </w:r>
            <w:r>
              <w:rPr>
                <w:rFonts w:hint="eastAsia" w:ascii="宋体" w:hAnsi="宋体" w:eastAsia="宋体" w:cs="宋体"/>
                <w:sz w:val="20"/>
                <w:szCs w:val="20"/>
                <w:highlight w:val="none"/>
                <w:lang w:val="en-US" w:eastAsia="zh-CN" w:bidi="en-US"/>
              </w:rPr>
              <w:t>1d内无积水；</w:t>
            </w:r>
          </w:p>
          <w:p w14:paraId="7AAE07C1">
            <w:pPr>
              <w:pStyle w:val="26"/>
              <w:spacing w:line="270" w:lineRule="exact"/>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（2</w:t>
            </w:r>
            <w:r>
              <w:rPr>
                <w:rFonts w:hint="eastAsia" w:ascii="宋体" w:hAnsi="宋体" w:eastAsia="宋体" w:cs="宋体"/>
                <w:sz w:val="20"/>
                <w:szCs w:val="20"/>
                <w:highlight w:val="none"/>
                <w:lang w:val="en-US" w:eastAsia="zh-CN"/>
              </w:rPr>
              <w:t>草坪</w:t>
            </w:r>
            <w:r>
              <w:rPr>
                <w:rFonts w:hint="eastAsia" w:ascii="宋体" w:hAnsi="宋体" w:eastAsia="宋体" w:cs="宋体"/>
                <w:sz w:val="20"/>
                <w:szCs w:val="20"/>
                <w:highlight w:val="none"/>
              </w:rPr>
              <w:t>无明显失水</w:t>
            </w:r>
            <w:r>
              <w:rPr>
                <w:rFonts w:hint="eastAsia" w:ascii="宋体" w:hAnsi="宋体" w:eastAsia="宋体" w:cs="宋体"/>
                <w:sz w:val="20"/>
                <w:szCs w:val="20"/>
                <w:highlight w:val="none"/>
                <w:lang w:val="en-US" w:eastAsia="zh-CN"/>
              </w:rPr>
              <w:t>萎蔫</w:t>
            </w:r>
            <w:r>
              <w:rPr>
                <w:rFonts w:hint="eastAsia" w:ascii="宋体" w:hAnsi="宋体" w:eastAsia="宋体" w:cs="宋体"/>
                <w:sz w:val="20"/>
                <w:szCs w:val="20"/>
                <w:highlight w:val="none"/>
              </w:rPr>
              <w:t>现象</w:t>
            </w:r>
          </w:p>
        </w:tc>
      </w:tr>
      <w:tr w14:paraId="75E7879D">
        <w:tblPrEx>
          <w:tblCellMar>
            <w:top w:w="0" w:type="dxa"/>
            <w:left w:w="10" w:type="dxa"/>
            <w:bottom w:w="0" w:type="dxa"/>
            <w:right w:w="10" w:type="dxa"/>
          </w:tblCellMar>
        </w:tblPrEx>
        <w:trPr>
          <w:trHeight w:val="3787" w:hRule="exact"/>
          <w:jc w:val="center"/>
        </w:trPr>
        <w:tc>
          <w:tcPr>
            <w:tcW w:w="835" w:type="dxa"/>
            <w:tcBorders>
              <w:top w:val="single" w:color="auto" w:sz="4" w:space="0"/>
              <w:left w:val="single" w:color="auto" w:sz="4" w:space="0"/>
              <w:bottom w:val="single" w:color="auto" w:sz="4" w:space="0"/>
            </w:tcBorders>
            <w:shd w:val="clear" w:color="auto" w:fill="FFFFFF"/>
            <w:noWrap w:val="0"/>
            <w:vAlign w:val="center"/>
          </w:tcPr>
          <w:p w14:paraId="54163431">
            <w:pPr>
              <w:pStyle w:val="26"/>
              <w:spacing w:line="240" w:lineRule="auto"/>
              <w:ind w:firstLine="200" w:firstLineChars="100"/>
              <w:jc w:val="left"/>
              <w:rPr>
                <w:rFonts w:hint="eastAsia" w:ascii="宋体" w:hAnsi="宋体" w:eastAsia="宋体" w:cs="宋体"/>
                <w:sz w:val="20"/>
                <w:szCs w:val="20"/>
                <w:highlight w:val="none"/>
              </w:rPr>
            </w:pPr>
            <w:r>
              <w:rPr>
                <w:rFonts w:hint="eastAsia" w:ascii="宋体" w:hAnsi="宋体" w:eastAsia="宋体" w:cs="宋体"/>
                <w:sz w:val="20"/>
                <w:szCs w:val="20"/>
                <w:highlight w:val="none"/>
              </w:rPr>
              <w:t>4</w:t>
            </w:r>
          </w:p>
        </w:tc>
        <w:tc>
          <w:tcPr>
            <w:tcW w:w="830" w:type="dxa"/>
            <w:tcBorders>
              <w:top w:val="single" w:color="auto" w:sz="4" w:space="0"/>
              <w:left w:val="single" w:color="auto" w:sz="4" w:space="0"/>
              <w:bottom w:val="single" w:color="auto" w:sz="4" w:space="0"/>
            </w:tcBorders>
            <w:shd w:val="clear" w:color="auto" w:fill="FFFFFF"/>
            <w:noWrap w:val="0"/>
            <w:vAlign w:val="center"/>
          </w:tcPr>
          <w:p w14:paraId="39BD0713">
            <w:pPr>
              <w:pStyle w:val="26"/>
              <w:spacing w:line="255" w:lineRule="exact"/>
              <w:jc w:val="left"/>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病虫害情况</w:t>
            </w:r>
          </w:p>
        </w:tc>
        <w:tc>
          <w:tcPr>
            <w:tcW w:w="2160" w:type="dxa"/>
            <w:tcBorders>
              <w:top w:val="single" w:color="auto" w:sz="4" w:space="0"/>
              <w:left w:val="single" w:color="auto" w:sz="4" w:space="0"/>
              <w:bottom w:val="single" w:color="auto" w:sz="4" w:space="0"/>
            </w:tcBorders>
            <w:shd w:val="clear" w:color="auto" w:fill="FFFFFF"/>
            <w:noWrap w:val="0"/>
            <w:vAlign w:val="center"/>
          </w:tcPr>
          <w:p w14:paraId="5A44141A">
            <w:pPr>
              <w:pStyle w:val="26"/>
              <w:spacing w:line="247"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1）草坪草受害度 应符合现行国家</w:t>
            </w:r>
            <w:r>
              <w:rPr>
                <w:rFonts w:hint="eastAsia" w:ascii="宋体" w:hAnsi="宋体" w:eastAsia="宋体" w:cs="宋体"/>
                <w:sz w:val="20"/>
                <w:szCs w:val="20"/>
                <w:highlight w:val="none"/>
                <w:lang w:val="en-US" w:eastAsia="zh-CN"/>
              </w:rPr>
              <w:t>标</w:t>
            </w:r>
            <w:r>
              <w:rPr>
                <w:rFonts w:hint="eastAsia" w:ascii="宋体" w:hAnsi="宋体" w:eastAsia="宋体" w:cs="宋体"/>
                <w:sz w:val="20"/>
                <w:szCs w:val="20"/>
                <w:highlight w:val="none"/>
              </w:rPr>
              <w:t xml:space="preserve">准 </w:t>
            </w:r>
            <w:r>
              <w:rPr>
                <w:rFonts w:hint="eastAsia" w:ascii="宋体" w:hAnsi="宋体" w:eastAsia="宋体" w:cs="宋体"/>
                <w:sz w:val="20"/>
                <w:szCs w:val="20"/>
                <w:highlight w:val="none"/>
                <w:lang w:val="zh-CN" w:eastAsia="zh-CN" w:bidi="zh-CN"/>
              </w:rPr>
              <w:t>《主</w:t>
            </w:r>
            <w:r>
              <w:rPr>
                <w:rFonts w:hint="eastAsia" w:ascii="宋体" w:hAnsi="宋体" w:eastAsia="宋体" w:cs="宋体"/>
                <w:sz w:val="20"/>
                <w:szCs w:val="20"/>
                <w:highlight w:val="none"/>
              </w:rPr>
              <w:t>要花卉产品等级</w:t>
            </w:r>
          </w:p>
          <w:p w14:paraId="1DD6AD0B">
            <w:pPr>
              <w:pStyle w:val="26"/>
              <w:spacing w:line="252" w:lineRule="exact"/>
              <w:ind w:firstLine="260"/>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第7部分：</w:t>
            </w:r>
            <w:r>
              <w:rPr>
                <w:rFonts w:hint="eastAsia" w:ascii="宋体" w:hAnsi="宋体" w:eastAsia="宋体" w:cs="宋体"/>
                <w:sz w:val="20"/>
                <w:szCs w:val="20"/>
                <w:highlight w:val="none"/>
                <w:lang w:val="zh-CN" w:eastAsia="zh-CN" w:bidi="zh-CN"/>
              </w:rPr>
              <w:t>草坪》</w:t>
            </w:r>
            <w:r>
              <w:rPr>
                <w:rFonts w:hint="eastAsia" w:ascii="宋体" w:hAnsi="宋体" w:eastAsia="宋体" w:cs="宋体"/>
                <w:sz w:val="20"/>
                <w:szCs w:val="20"/>
                <w:highlight w:val="none"/>
                <w:lang w:val="en-US" w:eastAsia="zh-CN" w:bidi="en-US"/>
              </w:rPr>
              <w:t xml:space="preserve">GB T 18217.7 </w:t>
            </w:r>
            <w:r>
              <w:rPr>
                <w:rFonts w:hint="eastAsia" w:ascii="宋体" w:hAnsi="宋体" w:eastAsia="宋体" w:cs="宋体"/>
                <w:sz w:val="20"/>
                <w:szCs w:val="20"/>
                <w:highlight w:val="none"/>
              </w:rPr>
              <w:t>中开放型緑地草坪</w:t>
            </w:r>
            <w:r>
              <w:rPr>
                <w:rFonts w:hint="eastAsia" w:ascii="宋体" w:hAnsi="宋体" w:eastAsia="宋体" w:cs="宋体"/>
                <w:sz w:val="20"/>
                <w:szCs w:val="20"/>
                <w:highlight w:val="none"/>
                <w:lang w:val="en-US" w:eastAsia="zh-CN"/>
              </w:rPr>
              <w:t>一级标准</w:t>
            </w:r>
            <w:r>
              <w:rPr>
                <w:rFonts w:hint="eastAsia" w:ascii="宋体" w:hAnsi="宋体" w:eastAsia="宋体" w:cs="宋体"/>
                <w:sz w:val="20"/>
                <w:szCs w:val="20"/>
                <w:highlight w:val="none"/>
              </w:rPr>
              <w:t>的要求</w:t>
            </w:r>
            <w:r>
              <w:rPr>
                <w:rFonts w:hint="eastAsia" w:ascii="宋体" w:hAnsi="宋体" w:eastAsia="宋体" w:cs="宋体"/>
                <w:sz w:val="20"/>
                <w:szCs w:val="20"/>
                <w:highlight w:val="none"/>
                <w:lang w:eastAsia="zh-CN"/>
              </w:rPr>
              <w:t>；</w:t>
            </w:r>
          </w:p>
          <w:p w14:paraId="4825CA4C">
            <w:pPr>
              <w:pStyle w:val="26"/>
              <w:spacing w:line="252"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2）杂草率应符合 现行国家标准</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主要花</w:t>
            </w:r>
            <w:r>
              <w:rPr>
                <w:rFonts w:hint="eastAsia" w:ascii="宋体" w:hAnsi="宋体" w:eastAsia="宋体" w:cs="宋体"/>
                <w:sz w:val="20"/>
                <w:szCs w:val="20"/>
                <w:highlight w:val="none"/>
                <w:lang w:val="en-US" w:eastAsia="zh-CN"/>
              </w:rPr>
              <w:t>卉</w:t>
            </w:r>
            <w:r>
              <w:rPr>
                <w:rFonts w:hint="eastAsia" w:ascii="宋体" w:hAnsi="宋体" w:eastAsia="宋体" w:cs="宋体"/>
                <w:sz w:val="20"/>
                <w:szCs w:val="20"/>
                <w:highlight w:val="none"/>
              </w:rPr>
              <w:t>产品等级第7 部分：</w:t>
            </w:r>
            <w:r>
              <w:rPr>
                <w:rFonts w:hint="eastAsia" w:ascii="宋体" w:hAnsi="宋体" w:eastAsia="宋体" w:cs="宋体"/>
                <w:sz w:val="20"/>
                <w:szCs w:val="20"/>
                <w:highlight w:val="none"/>
                <w:lang w:val="zh-CN" w:eastAsia="zh-CN" w:bidi="zh-CN"/>
              </w:rPr>
              <w:t>草坪》</w:t>
            </w:r>
            <w:r>
              <w:rPr>
                <w:rFonts w:hint="eastAsia" w:ascii="宋体" w:hAnsi="宋体" w:eastAsia="宋体" w:cs="宋体"/>
                <w:sz w:val="20"/>
                <w:szCs w:val="20"/>
                <w:highlight w:val="none"/>
                <w:lang w:val="en-US" w:eastAsia="zh-CN" w:bidi="zh-CN"/>
              </w:rPr>
              <w:t>GBT/</w:t>
            </w:r>
            <w:r>
              <w:rPr>
                <w:rFonts w:hint="eastAsia" w:ascii="宋体" w:hAnsi="宋体" w:eastAsia="宋体" w:cs="宋体"/>
                <w:sz w:val="20"/>
                <w:szCs w:val="20"/>
                <w:highlight w:val="none"/>
                <w:lang w:val="en-US" w:eastAsia="zh-CN" w:bidi="en-US"/>
              </w:rPr>
              <w:t>18247.7</w:t>
            </w:r>
            <w:r>
              <w:rPr>
                <w:rFonts w:hint="eastAsia" w:ascii="宋体" w:hAnsi="宋体" w:eastAsia="宋体" w:cs="宋体"/>
                <w:sz w:val="20"/>
                <w:szCs w:val="20"/>
                <w:highlight w:val="none"/>
              </w:rPr>
              <w:t>中开放型绿地</w:t>
            </w:r>
            <w:r>
              <w:rPr>
                <w:rFonts w:hint="eastAsia" w:ascii="宋体" w:hAnsi="宋体" w:eastAsia="宋体" w:cs="宋体"/>
                <w:sz w:val="20"/>
                <w:szCs w:val="20"/>
                <w:highlight w:val="none"/>
                <w:lang w:val="en-US" w:eastAsia="zh-CN"/>
              </w:rPr>
              <w:t>草坪一</w:t>
            </w:r>
            <w:r>
              <w:rPr>
                <w:rFonts w:hint="eastAsia" w:ascii="宋体" w:hAnsi="宋体" w:eastAsia="宋体" w:cs="宋体"/>
                <w:sz w:val="20"/>
                <w:szCs w:val="20"/>
                <w:highlight w:val="none"/>
              </w:rPr>
              <w:t>级标准的要求</w:t>
            </w:r>
          </w:p>
        </w:tc>
        <w:tc>
          <w:tcPr>
            <w:tcW w:w="2385" w:type="dxa"/>
            <w:tcBorders>
              <w:top w:val="single" w:color="auto" w:sz="4" w:space="0"/>
              <w:left w:val="single" w:color="auto" w:sz="4" w:space="0"/>
              <w:bottom w:val="single" w:color="auto" w:sz="4" w:space="0"/>
            </w:tcBorders>
            <w:shd w:val="clear" w:color="auto" w:fill="FFFFFF"/>
            <w:noWrap w:val="0"/>
            <w:vAlign w:val="center"/>
          </w:tcPr>
          <w:p w14:paraId="40AFA168">
            <w:pPr>
              <w:pStyle w:val="26"/>
              <w:spacing w:line="247"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1）草坪草受害度 应符合现行国家</w:t>
            </w:r>
            <w:r>
              <w:rPr>
                <w:rFonts w:hint="eastAsia" w:ascii="宋体" w:hAnsi="宋体" w:eastAsia="宋体" w:cs="宋体"/>
                <w:sz w:val="20"/>
                <w:szCs w:val="20"/>
                <w:highlight w:val="none"/>
                <w:lang w:val="en-US" w:eastAsia="zh-CN"/>
              </w:rPr>
              <w:t>标</w:t>
            </w:r>
            <w:r>
              <w:rPr>
                <w:rFonts w:hint="eastAsia" w:ascii="宋体" w:hAnsi="宋体" w:eastAsia="宋体" w:cs="宋体"/>
                <w:sz w:val="20"/>
                <w:szCs w:val="20"/>
                <w:highlight w:val="none"/>
              </w:rPr>
              <w:t xml:space="preserve">准 </w:t>
            </w:r>
            <w:r>
              <w:rPr>
                <w:rFonts w:hint="eastAsia" w:ascii="宋体" w:hAnsi="宋体" w:eastAsia="宋体" w:cs="宋体"/>
                <w:sz w:val="20"/>
                <w:szCs w:val="20"/>
                <w:highlight w:val="none"/>
                <w:lang w:val="zh-CN" w:eastAsia="zh-CN" w:bidi="zh-CN"/>
              </w:rPr>
              <w:t>《主</w:t>
            </w:r>
            <w:r>
              <w:rPr>
                <w:rFonts w:hint="eastAsia" w:ascii="宋体" w:hAnsi="宋体" w:eastAsia="宋体" w:cs="宋体"/>
                <w:sz w:val="20"/>
                <w:szCs w:val="20"/>
                <w:highlight w:val="none"/>
              </w:rPr>
              <w:t>要花卉产品等级</w:t>
            </w:r>
          </w:p>
          <w:p w14:paraId="60057617">
            <w:pPr>
              <w:pStyle w:val="26"/>
              <w:spacing w:line="252" w:lineRule="exact"/>
              <w:ind w:firstLine="260"/>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第7部分：</w:t>
            </w:r>
            <w:r>
              <w:rPr>
                <w:rFonts w:hint="eastAsia" w:ascii="宋体" w:hAnsi="宋体" w:eastAsia="宋体" w:cs="宋体"/>
                <w:sz w:val="20"/>
                <w:szCs w:val="20"/>
                <w:highlight w:val="none"/>
                <w:lang w:val="zh-CN" w:eastAsia="zh-CN" w:bidi="zh-CN"/>
              </w:rPr>
              <w:t>草坪》</w:t>
            </w:r>
            <w:r>
              <w:rPr>
                <w:rFonts w:hint="eastAsia" w:ascii="宋体" w:hAnsi="宋体" w:eastAsia="宋体" w:cs="宋体"/>
                <w:sz w:val="20"/>
                <w:szCs w:val="20"/>
                <w:highlight w:val="none"/>
                <w:lang w:val="en-US" w:eastAsia="zh-CN" w:bidi="en-US"/>
              </w:rPr>
              <w:t xml:space="preserve">GB T 18217.7 </w:t>
            </w:r>
            <w:r>
              <w:rPr>
                <w:rFonts w:hint="eastAsia" w:ascii="宋体" w:hAnsi="宋体" w:eastAsia="宋体" w:cs="宋体"/>
                <w:sz w:val="20"/>
                <w:szCs w:val="20"/>
                <w:highlight w:val="none"/>
              </w:rPr>
              <w:t>中开放型緑地草坪</w:t>
            </w:r>
            <w:r>
              <w:rPr>
                <w:rFonts w:hint="eastAsia" w:ascii="宋体" w:hAnsi="宋体" w:eastAsia="宋体" w:cs="宋体"/>
                <w:sz w:val="20"/>
                <w:szCs w:val="20"/>
                <w:highlight w:val="none"/>
                <w:lang w:val="en-US" w:eastAsia="zh-CN"/>
              </w:rPr>
              <w:t>二级标准</w:t>
            </w:r>
            <w:r>
              <w:rPr>
                <w:rFonts w:hint="eastAsia" w:ascii="宋体" w:hAnsi="宋体" w:eastAsia="宋体" w:cs="宋体"/>
                <w:sz w:val="20"/>
                <w:szCs w:val="20"/>
                <w:highlight w:val="none"/>
              </w:rPr>
              <w:t>的要求</w:t>
            </w:r>
            <w:r>
              <w:rPr>
                <w:rFonts w:hint="eastAsia" w:ascii="宋体" w:hAnsi="宋体" w:eastAsia="宋体" w:cs="宋体"/>
                <w:sz w:val="20"/>
                <w:szCs w:val="20"/>
                <w:highlight w:val="none"/>
                <w:lang w:eastAsia="zh-CN"/>
              </w:rPr>
              <w:t>；</w:t>
            </w:r>
          </w:p>
          <w:p w14:paraId="3D1B9B08">
            <w:pPr>
              <w:pStyle w:val="26"/>
              <w:spacing w:line="250"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2）杂草率应符合 现行国家标准</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主要花</w:t>
            </w:r>
            <w:r>
              <w:rPr>
                <w:rFonts w:hint="eastAsia" w:ascii="宋体" w:hAnsi="宋体" w:eastAsia="宋体" w:cs="宋体"/>
                <w:sz w:val="20"/>
                <w:szCs w:val="20"/>
                <w:highlight w:val="none"/>
                <w:lang w:val="en-US" w:eastAsia="zh-CN"/>
              </w:rPr>
              <w:t>卉</w:t>
            </w:r>
            <w:r>
              <w:rPr>
                <w:rFonts w:hint="eastAsia" w:ascii="宋体" w:hAnsi="宋体" w:eastAsia="宋体" w:cs="宋体"/>
                <w:sz w:val="20"/>
                <w:szCs w:val="20"/>
                <w:highlight w:val="none"/>
              </w:rPr>
              <w:t>产品等级第7 部分：</w:t>
            </w:r>
            <w:r>
              <w:rPr>
                <w:rFonts w:hint="eastAsia" w:ascii="宋体" w:hAnsi="宋体" w:eastAsia="宋体" w:cs="宋体"/>
                <w:sz w:val="20"/>
                <w:szCs w:val="20"/>
                <w:highlight w:val="none"/>
                <w:lang w:val="zh-CN" w:eastAsia="zh-CN" w:bidi="zh-CN"/>
              </w:rPr>
              <w:t>草坪》</w:t>
            </w:r>
            <w:r>
              <w:rPr>
                <w:rFonts w:hint="eastAsia" w:ascii="宋体" w:hAnsi="宋体" w:eastAsia="宋体" w:cs="宋体"/>
                <w:sz w:val="20"/>
                <w:szCs w:val="20"/>
                <w:highlight w:val="none"/>
                <w:lang w:val="en-US" w:eastAsia="zh-CN" w:bidi="zh-CN"/>
              </w:rPr>
              <w:t>GBT/</w:t>
            </w:r>
            <w:r>
              <w:rPr>
                <w:rFonts w:hint="eastAsia" w:ascii="宋体" w:hAnsi="宋体" w:eastAsia="宋体" w:cs="宋体"/>
                <w:sz w:val="20"/>
                <w:szCs w:val="20"/>
                <w:highlight w:val="none"/>
                <w:lang w:val="en-US" w:eastAsia="zh-CN" w:bidi="en-US"/>
              </w:rPr>
              <w:t>18247.7</w:t>
            </w:r>
            <w:r>
              <w:rPr>
                <w:rFonts w:hint="eastAsia" w:ascii="宋体" w:hAnsi="宋体" w:eastAsia="宋体" w:cs="宋体"/>
                <w:sz w:val="20"/>
                <w:szCs w:val="20"/>
                <w:highlight w:val="none"/>
              </w:rPr>
              <w:t>中开放型绿地</w:t>
            </w:r>
            <w:r>
              <w:rPr>
                <w:rFonts w:hint="eastAsia" w:ascii="宋体" w:hAnsi="宋体" w:eastAsia="宋体" w:cs="宋体"/>
                <w:sz w:val="20"/>
                <w:szCs w:val="20"/>
                <w:highlight w:val="none"/>
                <w:lang w:val="en-US" w:eastAsia="zh-CN"/>
              </w:rPr>
              <w:t>草坪二</w:t>
            </w:r>
            <w:r>
              <w:rPr>
                <w:rFonts w:hint="eastAsia" w:ascii="宋体" w:hAnsi="宋体" w:eastAsia="宋体" w:cs="宋体"/>
                <w:sz w:val="20"/>
                <w:szCs w:val="20"/>
                <w:highlight w:val="none"/>
              </w:rPr>
              <w:t>级标准的要求</w:t>
            </w:r>
          </w:p>
        </w:tc>
        <w:tc>
          <w:tcPr>
            <w:tcW w:w="2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CAAF0F">
            <w:pPr>
              <w:pStyle w:val="26"/>
              <w:spacing w:line="247"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1）草坪草受害度 应符合现行国家</w:t>
            </w:r>
            <w:r>
              <w:rPr>
                <w:rFonts w:hint="eastAsia" w:ascii="宋体" w:hAnsi="宋体" w:eastAsia="宋体" w:cs="宋体"/>
                <w:sz w:val="20"/>
                <w:szCs w:val="20"/>
                <w:highlight w:val="none"/>
                <w:lang w:val="en-US" w:eastAsia="zh-CN"/>
              </w:rPr>
              <w:t>标</w:t>
            </w:r>
            <w:r>
              <w:rPr>
                <w:rFonts w:hint="eastAsia" w:ascii="宋体" w:hAnsi="宋体" w:eastAsia="宋体" w:cs="宋体"/>
                <w:sz w:val="20"/>
                <w:szCs w:val="20"/>
                <w:highlight w:val="none"/>
              </w:rPr>
              <w:t xml:space="preserve">准 </w:t>
            </w:r>
            <w:r>
              <w:rPr>
                <w:rFonts w:hint="eastAsia" w:ascii="宋体" w:hAnsi="宋体" w:eastAsia="宋体" w:cs="宋体"/>
                <w:sz w:val="20"/>
                <w:szCs w:val="20"/>
                <w:highlight w:val="none"/>
                <w:lang w:val="zh-CN" w:eastAsia="zh-CN" w:bidi="zh-CN"/>
              </w:rPr>
              <w:t>《主</w:t>
            </w:r>
            <w:r>
              <w:rPr>
                <w:rFonts w:hint="eastAsia" w:ascii="宋体" w:hAnsi="宋体" w:eastAsia="宋体" w:cs="宋体"/>
                <w:sz w:val="20"/>
                <w:szCs w:val="20"/>
                <w:highlight w:val="none"/>
              </w:rPr>
              <w:t>要花卉产品等级</w:t>
            </w:r>
          </w:p>
          <w:p w14:paraId="7B446D60">
            <w:pPr>
              <w:pStyle w:val="26"/>
              <w:spacing w:line="252" w:lineRule="exact"/>
              <w:ind w:firstLine="260"/>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第7部分：</w:t>
            </w:r>
            <w:r>
              <w:rPr>
                <w:rFonts w:hint="eastAsia" w:ascii="宋体" w:hAnsi="宋体" w:eastAsia="宋体" w:cs="宋体"/>
                <w:sz w:val="20"/>
                <w:szCs w:val="20"/>
                <w:highlight w:val="none"/>
                <w:lang w:val="zh-CN" w:eastAsia="zh-CN" w:bidi="zh-CN"/>
              </w:rPr>
              <w:t>草坪》</w:t>
            </w:r>
            <w:r>
              <w:rPr>
                <w:rFonts w:hint="eastAsia" w:ascii="宋体" w:hAnsi="宋体" w:eastAsia="宋体" w:cs="宋体"/>
                <w:sz w:val="20"/>
                <w:szCs w:val="20"/>
                <w:highlight w:val="none"/>
                <w:lang w:val="en-US" w:eastAsia="zh-CN" w:bidi="en-US"/>
              </w:rPr>
              <w:t xml:space="preserve">GB T 18217.7 </w:t>
            </w:r>
            <w:r>
              <w:rPr>
                <w:rFonts w:hint="eastAsia" w:ascii="宋体" w:hAnsi="宋体" w:eastAsia="宋体" w:cs="宋体"/>
                <w:sz w:val="20"/>
                <w:szCs w:val="20"/>
                <w:highlight w:val="none"/>
              </w:rPr>
              <w:t>中开放型緑地草坪</w:t>
            </w:r>
            <w:r>
              <w:rPr>
                <w:rFonts w:hint="eastAsia" w:ascii="宋体" w:hAnsi="宋体" w:eastAsia="宋体" w:cs="宋体"/>
                <w:sz w:val="20"/>
                <w:szCs w:val="20"/>
                <w:highlight w:val="none"/>
                <w:lang w:val="en-US" w:eastAsia="zh-CN"/>
              </w:rPr>
              <w:t>三级标准</w:t>
            </w:r>
            <w:r>
              <w:rPr>
                <w:rFonts w:hint="eastAsia" w:ascii="宋体" w:hAnsi="宋体" w:eastAsia="宋体" w:cs="宋体"/>
                <w:sz w:val="20"/>
                <w:szCs w:val="20"/>
                <w:highlight w:val="none"/>
              </w:rPr>
              <w:t>的要求</w:t>
            </w:r>
            <w:r>
              <w:rPr>
                <w:rFonts w:hint="eastAsia" w:ascii="宋体" w:hAnsi="宋体" w:eastAsia="宋体" w:cs="宋体"/>
                <w:sz w:val="20"/>
                <w:szCs w:val="20"/>
                <w:highlight w:val="none"/>
                <w:lang w:eastAsia="zh-CN"/>
              </w:rPr>
              <w:t>；</w:t>
            </w:r>
          </w:p>
          <w:p w14:paraId="73592F2F">
            <w:pPr>
              <w:pStyle w:val="26"/>
              <w:spacing w:line="247" w:lineRule="exact"/>
              <w:ind w:firstLine="260"/>
              <w:jc w:val="left"/>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2）杂草率应符合 现行国家标准</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主要花</w:t>
            </w:r>
            <w:r>
              <w:rPr>
                <w:rFonts w:hint="eastAsia" w:ascii="宋体" w:hAnsi="宋体" w:eastAsia="宋体" w:cs="宋体"/>
                <w:sz w:val="20"/>
                <w:szCs w:val="20"/>
                <w:highlight w:val="none"/>
                <w:lang w:val="en-US" w:eastAsia="zh-CN"/>
              </w:rPr>
              <w:t>卉</w:t>
            </w:r>
            <w:r>
              <w:rPr>
                <w:rFonts w:hint="eastAsia" w:ascii="宋体" w:hAnsi="宋体" w:eastAsia="宋体" w:cs="宋体"/>
                <w:sz w:val="20"/>
                <w:szCs w:val="20"/>
                <w:highlight w:val="none"/>
              </w:rPr>
              <w:t>产品等级第7 部分：</w:t>
            </w:r>
            <w:r>
              <w:rPr>
                <w:rFonts w:hint="eastAsia" w:ascii="宋体" w:hAnsi="宋体" w:eastAsia="宋体" w:cs="宋体"/>
                <w:sz w:val="20"/>
                <w:szCs w:val="20"/>
                <w:highlight w:val="none"/>
                <w:lang w:val="zh-CN" w:eastAsia="zh-CN" w:bidi="zh-CN"/>
              </w:rPr>
              <w:t>草坪》</w:t>
            </w:r>
            <w:r>
              <w:rPr>
                <w:rFonts w:hint="eastAsia" w:ascii="宋体" w:hAnsi="宋体" w:eastAsia="宋体" w:cs="宋体"/>
                <w:sz w:val="20"/>
                <w:szCs w:val="20"/>
                <w:highlight w:val="none"/>
                <w:lang w:val="en-US" w:eastAsia="zh-CN" w:bidi="zh-CN"/>
              </w:rPr>
              <w:t>GBT/</w:t>
            </w:r>
            <w:r>
              <w:rPr>
                <w:rFonts w:hint="eastAsia" w:ascii="宋体" w:hAnsi="宋体" w:eastAsia="宋体" w:cs="宋体"/>
                <w:sz w:val="20"/>
                <w:szCs w:val="20"/>
                <w:highlight w:val="none"/>
                <w:lang w:val="en-US" w:eastAsia="zh-CN" w:bidi="en-US"/>
              </w:rPr>
              <w:t>18247.7</w:t>
            </w:r>
            <w:r>
              <w:rPr>
                <w:rFonts w:hint="eastAsia" w:ascii="宋体" w:hAnsi="宋体" w:eastAsia="宋体" w:cs="宋体"/>
                <w:sz w:val="20"/>
                <w:szCs w:val="20"/>
                <w:highlight w:val="none"/>
              </w:rPr>
              <w:t>中开放型绿地</w:t>
            </w:r>
            <w:r>
              <w:rPr>
                <w:rFonts w:hint="eastAsia" w:ascii="宋体" w:hAnsi="宋体" w:eastAsia="宋体" w:cs="宋体"/>
                <w:sz w:val="20"/>
                <w:szCs w:val="20"/>
                <w:highlight w:val="none"/>
                <w:lang w:val="en-US" w:eastAsia="zh-CN"/>
              </w:rPr>
              <w:t>草坪三</w:t>
            </w:r>
            <w:r>
              <w:rPr>
                <w:rFonts w:hint="eastAsia" w:ascii="宋体" w:hAnsi="宋体" w:eastAsia="宋体" w:cs="宋体"/>
                <w:sz w:val="20"/>
                <w:szCs w:val="20"/>
                <w:highlight w:val="none"/>
              </w:rPr>
              <w:t>级标准的要求</w:t>
            </w:r>
          </w:p>
        </w:tc>
      </w:tr>
      <w:tr w14:paraId="0374AD9C">
        <w:tblPrEx>
          <w:tblCellMar>
            <w:top w:w="0" w:type="dxa"/>
            <w:left w:w="10" w:type="dxa"/>
            <w:bottom w:w="0" w:type="dxa"/>
            <w:right w:w="10" w:type="dxa"/>
          </w:tblCellMar>
        </w:tblPrEx>
        <w:trPr>
          <w:trHeight w:val="1950" w:hRule="exact"/>
          <w:jc w:val="center"/>
        </w:trPr>
        <w:tc>
          <w:tcPr>
            <w:tcW w:w="835" w:type="dxa"/>
            <w:tcBorders>
              <w:top w:val="single" w:color="auto" w:sz="4" w:space="0"/>
              <w:left w:val="single" w:color="auto" w:sz="4" w:space="0"/>
              <w:bottom w:val="single" w:color="auto" w:sz="4" w:space="0"/>
            </w:tcBorders>
            <w:shd w:val="clear" w:color="auto" w:fill="FFFFFF"/>
            <w:noWrap w:val="0"/>
            <w:vAlign w:val="center"/>
          </w:tcPr>
          <w:p w14:paraId="750E6746">
            <w:pPr>
              <w:pStyle w:val="26"/>
              <w:spacing w:line="240" w:lineRule="auto"/>
              <w:ind w:firstLine="200" w:firstLineChars="100"/>
              <w:jc w:val="left"/>
              <w:rPr>
                <w:rFonts w:hint="eastAsia"/>
                <w:highlight w:val="none"/>
              </w:rPr>
            </w:pPr>
            <w:r>
              <w:rPr>
                <w:rFonts w:hint="eastAsia"/>
                <w:highlight w:val="none"/>
              </w:rPr>
              <w:t>5</w:t>
            </w:r>
          </w:p>
        </w:tc>
        <w:tc>
          <w:tcPr>
            <w:tcW w:w="830" w:type="dxa"/>
            <w:tcBorders>
              <w:top w:val="single" w:color="auto" w:sz="4" w:space="0"/>
              <w:left w:val="single" w:color="auto" w:sz="4" w:space="0"/>
              <w:bottom w:val="single" w:color="auto" w:sz="4" w:space="0"/>
            </w:tcBorders>
            <w:shd w:val="clear" w:color="auto" w:fill="FFFFFF"/>
            <w:noWrap w:val="0"/>
            <w:vAlign w:val="center"/>
          </w:tcPr>
          <w:p w14:paraId="79E58012">
            <w:pPr>
              <w:pStyle w:val="26"/>
              <w:spacing w:line="240" w:lineRule="auto"/>
              <w:jc w:val="left"/>
              <w:rPr>
                <w:rFonts w:hint="eastAsia"/>
                <w:highlight w:val="none"/>
                <w:lang w:val="en-US" w:eastAsia="zh-CN"/>
              </w:rPr>
            </w:pPr>
            <w:r>
              <w:rPr>
                <w:rFonts w:hint="eastAsia"/>
                <w:highlight w:val="none"/>
                <w:lang w:val="en-US" w:eastAsia="zh-CN"/>
              </w:rPr>
              <w:t>覆盖度</w:t>
            </w:r>
          </w:p>
        </w:tc>
        <w:tc>
          <w:tcPr>
            <w:tcW w:w="2160" w:type="dxa"/>
            <w:tcBorders>
              <w:top w:val="single" w:color="auto" w:sz="4" w:space="0"/>
              <w:left w:val="single" w:color="auto" w:sz="4" w:space="0"/>
              <w:bottom w:val="single" w:color="auto" w:sz="4" w:space="0"/>
            </w:tcBorders>
            <w:shd w:val="clear" w:color="auto" w:fill="FFFFFF"/>
            <w:noWrap w:val="0"/>
            <w:vAlign w:val="center"/>
          </w:tcPr>
          <w:p w14:paraId="42C587A5">
            <w:pPr>
              <w:pStyle w:val="26"/>
              <w:spacing w:line="312" w:lineRule="exact"/>
              <w:ind w:firstLine="260"/>
              <w:jc w:val="left"/>
              <w:rPr>
                <w:rFonts w:hint="eastAsia"/>
                <w:highlight w:val="none"/>
                <w:lang w:eastAsia="zh-CN"/>
              </w:rPr>
            </w:pPr>
            <w:r>
              <w:rPr>
                <w:rFonts w:hint="eastAsia"/>
                <w:highlight w:val="none"/>
              </w:rPr>
              <w:t>应符合现行国家标 准《主要花</w:t>
            </w:r>
            <w:r>
              <w:rPr>
                <w:rFonts w:hint="eastAsia"/>
                <w:highlight w:val="none"/>
                <w:lang w:val="en-US" w:eastAsia="zh-CN"/>
              </w:rPr>
              <w:t>卉</w:t>
            </w:r>
            <w:r>
              <w:rPr>
                <w:rFonts w:hint="eastAsia"/>
                <w:highlight w:val="none"/>
              </w:rPr>
              <w:t>产品等级第7部分：草 坪》</w:t>
            </w:r>
            <w:r>
              <w:rPr>
                <w:rFonts w:hint="eastAsia"/>
                <w:highlight w:val="none"/>
                <w:lang w:val="en-US" w:eastAsia="zh-CN" w:bidi="en-US"/>
              </w:rPr>
              <w:t xml:space="preserve">GB T 18247.7 </w:t>
            </w:r>
            <w:r>
              <w:rPr>
                <w:rFonts w:hint="eastAsia"/>
                <w:highlight w:val="none"/>
              </w:rPr>
              <w:t>中开放型绿地草坪</w:t>
            </w:r>
            <w:r>
              <w:rPr>
                <w:rFonts w:hint="eastAsia"/>
                <w:highlight w:val="none"/>
                <w:lang w:val="en-US" w:eastAsia="zh-CN"/>
              </w:rPr>
              <w:t>一</w:t>
            </w:r>
            <w:r>
              <w:rPr>
                <w:rFonts w:hint="eastAsia"/>
                <w:highlight w:val="none"/>
              </w:rPr>
              <w:t>级标准的要求</w:t>
            </w:r>
          </w:p>
        </w:tc>
        <w:tc>
          <w:tcPr>
            <w:tcW w:w="2385" w:type="dxa"/>
            <w:tcBorders>
              <w:top w:val="single" w:color="auto" w:sz="4" w:space="0"/>
              <w:left w:val="single" w:color="auto" w:sz="4" w:space="0"/>
              <w:bottom w:val="single" w:color="auto" w:sz="4" w:space="0"/>
            </w:tcBorders>
            <w:shd w:val="clear" w:color="auto" w:fill="FFFFFF"/>
            <w:noWrap w:val="0"/>
            <w:vAlign w:val="center"/>
          </w:tcPr>
          <w:p w14:paraId="53463E77">
            <w:pPr>
              <w:pStyle w:val="26"/>
              <w:spacing w:line="309" w:lineRule="exact"/>
              <w:ind w:firstLine="260"/>
              <w:jc w:val="left"/>
              <w:rPr>
                <w:rFonts w:hint="eastAsia"/>
                <w:highlight w:val="none"/>
                <w:lang w:eastAsia="zh-CN"/>
              </w:rPr>
            </w:pPr>
            <w:r>
              <w:rPr>
                <w:rFonts w:hint="eastAsia"/>
                <w:highlight w:val="none"/>
              </w:rPr>
              <w:t>应符合现行国家标 准《主要花</w:t>
            </w:r>
            <w:r>
              <w:rPr>
                <w:rFonts w:hint="eastAsia"/>
                <w:highlight w:val="none"/>
                <w:lang w:val="en-US" w:eastAsia="zh-CN"/>
              </w:rPr>
              <w:t>卉</w:t>
            </w:r>
            <w:r>
              <w:rPr>
                <w:rFonts w:hint="eastAsia"/>
                <w:highlight w:val="none"/>
              </w:rPr>
              <w:t>产品等级第7部分：草 坪》</w:t>
            </w:r>
            <w:r>
              <w:rPr>
                <w:rFonts w:hint="eastAsia"/>
                <w:highlight w:val="none"/>
                <w:lang w:val="en-US" w:eastAsia="zh-CN" w:bidi="en-US"/>
              </w:rPr>
              <w:t xml:space="preserve">GB T 18247.7 </w:t>
            </w:r>
            <w:r>
              <w:rPr>
                <w:rFonts w:hint="eastAsia"/>
                <w:highlight w:val="none"/>
              </w:rPr>
              <w:t>中开放型绿地草坪</w:t>
            </w:r>
            <w:r>
              <w:rPr>
                <w:rFonts w:hint="eastAsia"/>
                <w:highlight w:val="none"/>
                <w:lang w:val="en-US" w:eastAsia="zh-CN"/>
              </w:rPr>
              <w:t>二</w:t>
            </w:r>
            <w:r>
              <w:rPr>
                <w:rFonts w:hint="eastAsia"/>
                <w:highlight w:val="none"/>
              </w:rPr>
              <w:t>级标准的要求</w:t>
            </w:r>
          </w:p>
        </w:tc>
        <w:tc>
          <w:tcPr>
            <w:tcW w:w="2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AE2639">
            <w:pPr>
              <w:pStyle w:val="26"/>
              <w:spacing w:line="312" w:lineRule="exact"/>
              <w:ind w:firstLine="260"/>
              <w:jc w:val="left"/>
              <w:rPr>
                <w:rFonts w:hint="eastAsia"/>
                <w:highlight w:val="none"/>
                <w:lang w:eastAsia="zh-CN"/>
              </w:rPr>
            </w:pPr>
            <w:r>
              <w:rPr>
                <w:rFonts w:hint="eastAsia"/>
                <w:highlight w:val="none"/>
              </w:rPr>
              <w:t>应符合现行国家标 准《主要花</w:t>
            </w:r>
            <w:r>
              <w:rPr>
                <w:rFonts w:hint="eastAsia"/>
                <w:highlight w:val="none"/>
                <w:lang w:val="en-US" w:eastAsia="zh-CN"/>
              </w:rPr>
              <w:t>卉</w:t>
            </w:r>
            <w:r>
              <w:rPr>
                <w:rFonts w:hint="eastAsia"/>
                <w:highlight w:val="none"/>
              </w:rPr>
              <w:t>产品等级第7部分：草 坪》</w:t>
            </w:r>
            <w:r>
              <w:rPr>
                <w:rFonts w:hint="eastAsia"/>
                <w:highlight w:val="none"/>
                <w:lang w:val="en-US" w:eastAsia="zh-CN" w:bidi="en-US"/>
              </w:rPr>
              <w:t xml:space="preserve">GB T 18247.7 </w:t>
            </w:r>
            <w:r>
              <w:rPr>
                <w:rFonts w:hint="eastAsia"/>
                <w:highlight w:val="none"/>
              </w:rPr>
              <w:t>中开放型绿地草坪</w:t>
            </w:r>
            <w:r>
              <w:rPr>
                <w:rFonts w:hint="eastAsia"/>
                <w:highlight w:val="none"/>
                <w:lang w:val="en-US" w:eastAsia="zh-CN"/>
              </w:rPr>
              <w:t>三</w:t>
            </w:r>
            <w:r>
              <w:rPr>
                <w:rFonts w:hint="eastAsia"/>
                <w:highlight w:val="none"/>
              </w:rPr>
              <w:t>级标准的要求</w:t>
            </w:r>
          </w:p>
        </w:tc>
      </w:tr>
      <w:tr w14:paraId="0E7A3C83">
        <w:tblPrEx>
          <w:tblCellMar>
            <w:top w:w="0" w:type="dxa"/>
            <w:left w:w="10" w:type="dxa"/>
            <w:bottom w:w="0" w:type="dxa"/>
            <w:right w:w="10" w:type="dxa"/>
          </w:tblCellMar>
        </w:tblPrEx>
        <w:trPr>
          <w:trHeight w:val="885" w:hRule="exact"/>
          <w:jc w:val="center"/>
        </w:trPr>
        <w:tc>
          <w:tcPr>
            <w:tcW w:w="835" w:type="dxa"/>
            <w:tcBorders>
              <w:top w:val="single" w:color="auto" w:sz="4" w:space="0"/>
              <w:left w:val="single" w:color="auto" w:sz="4" w:space="0"/>
              <w:bottom w:val="single" w:color="auto" w:sz="4" w:space="0"/>
            </w:tcBorders>
            <w:shd w:val="clear" w:color="auto" w:fill="FFFFFF"/>
            <w:noWrap w:val="0"/>
            <w:vAlign w:val="center"/>
          </w:tcPr>
          <w:p w14:paraId="1E7A67AD">
            <w:pPr>
              <w:pStyle w:val="26"/>
              <w:spacing w:line="240" w:lineRule="auto"/>
              <w:ind w:firstLine="200" w:firstLineChars="100"/>
              <w:jc w:val="left"/>
              <w:rPr>
                <w:rFonts w:hint="eastAsia"/>
                <w:highlight w:val="none"/>
              </w:rPr>
            </w:pPr>
            <w:r>
              <w:rPr>
                <w:rFonts w:hint="eastAsia"/>
                <w:highlight w:val="none"/>
              </w:rPr>
              <w:t>6</w:t>
            </w:r>
          </w:p>
        </w:tc>
        <w:tc>
          <w:tcPr>
            <w:tcW w:w="830" w:type="dxa"/>
            <w:tcBorders>
              <w:top w:val="single" w:color="auto" w:sz="4" w:space="0"/>
              <w:left w:val="single" w:color="auto" w:sz="4" w:space="0"/>
              <w:bottom w:val="single" w:color="auto" w:sz="4" w:space="0"/>
            </w:tcBorders>
            <w:shd w:val="clear" w:color="auto" w:fill="FFFFFF"/>
            <w:noWrap w:val="0"/>
            <w:vAlign w:val="center"/>
          </w:tcPr>
          <w:p w14:paraId="415F4041">
            <w:pPr>
              <w:pStyle w:val="26"/>
              <w:spacing w:line="240" w:lineRule="auto"/>
              <w:jc w:val="left"/>
              <w:rPr>
                <w:rFonts w:hint="eastAsia"/>
                <w:highlight w:val="none"/>
                <w:lang w:val="en-US" w:eastAsia="zh-CN"/>
              </w:rPr>
            </w:pPr>
            <w:r>
              <w:rPr>
                <w:rFonts w:hint="eastAsia"/>
                <w:highlight w:val="none"/>
                <w:lang w:val="en-US" w:eastAsia="zh-CN"/>
              </w:rPr>
              <w:t>补植完成时间</w:t>
            </w:r>
          </w:p>
        </w:tc>
        <w:tc>
          <w:tcPr>
            <w:tcW w:w="2160" w:type="dxa"/>
            <w:tcBorders>
              <w:top w:val="single" w:color="auto" w:sz="4" w:space="0"/>
              <w:left w:val="single" w:color="auto" w:sz="4" w:space="0"/>
              <w:bottom w:val="single" w:color="auto" w:sz="4" w:space="0"/>
            </w:tcBorders>
            <w:shd w:val="clear" w:color="auto" w:fill="FFFFFF"/>
            <w:noWrap w:val="0"/>
            <w:vAlign w:val="center"/>
          </w:tcPr>
          <w:p w14:paraId="33F87CE9">
            <w:pPr>
              <w:pStyle w:val="26"/>
              <w:spacing w:line="240" w:lineRule="auto"/>
              <w:jc w:val="left"/>
              <w:rPr>
                <w:rFonts w:hint="eastAsia"/>
                <w:highlight w:val="none"/>
                <w:lang w:val="en-US" w:eastAsia="zh-CN"/>
              </w:rPr>
            </w:pPr>
            <w:r>
              <w:rPr>
                <w:rFonts w:hint="eastAsia"/>
                <w:highlight w:val="none"/>
                <w:lang w:val="en-US" w:eastAsia="zh-CN" w:bidi="en-US"/>
              </w:rPr>
              <w:t>≤3d</w:t>
            </w:r>
          </w:p>
        </w:tc>
        <w:tc>
          <w:tcPr>
            <w:tcW w:w="2385" w:type="dxa"/>
            <w:tcBorders>
              <w:top w:val="single" w:color="auto" w:sz="4" w:space="0"/>
              <w:left w:val="single" w:color="auto" w:sz="4" w:space="0"/>
              <w:bottom w:val="single" w:color="auto" w:sz="4" w:space="0"/>
            </w:tcBorders>
            <w:shd w:val="clear" w:color="auto" w:fill="FFFFFF"/>
            <w:noWrap w:val="0"/>
            <w:vAlign w:val="center"/>
          </w:tcPr>
          <w:p w14:paraId="4BC47E13">
            <w:pPr>
              <w:pStyle w:val="26"/>
              <w:spacing w:line="240" w:lineRule="auto"/>
              <w:jc w:val="left"/>
              <w:rPr>
                <w:rFonts w:hint="eastAsia"/>
                <w:highlight w:val="none"/>
              </w:rPr>
            </w:pPr>
            <w:r>
              <w:rPr>
                <w:rFonts w:hint="eastAsia"/>
                <w:highlight w:val="none"/>
                <w:lang w:val="en-US" w:eastAsia="zh-CN" w:bidi="en-US"/>
              </w:rPr>
              <w:t>≤</w:t>
            </w:r>
            <w:r>
              <w:rPr>
                <w:rFonts w:hint="eastAsia"/>
                <w:highlight w:val="none"/>
                <w:lang w:val="en-US" w:eastAsia="en-US" w:bidi="en-US"/>
              </w:rPr>
              <w:t>7d</w:t>
            </w:r>
          </w:p>
        </w:tc>
        <w:tc>
          <w:tcPr>
            <w:tcW w:w="2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21B390">
            <w:pPr>
              <w:pStyle w:val="26"/>
              <w:spacing w:line="240" w:lineRule="auto"/>
              <w:jc w:val="left"/>
              <w:rPr>
                <w:rFonts w:hint="eastAsia"/>
                <w:highlight w:val="none"/>
              </w:rPr>
            </w:pPr>
            <w:r>
              <w:rPr>
                <w:rFonts w:hint="eastAsia"/>
                <w:highlight w:val="none"/>
                <w:lang w:val="en-US" w:eastAsia="zh-CN" w:bidi="en-US"/>
              </w:rPr>
              <w:t>≤</w:t>
            </w:r>
            <w:r>
              <w:rPr>
                <w:rFonts w:hint="eastAsia"/>
                <w:highlight w:val="none"/>
                <w:lang w:val="en-US" w:eastAsia="en-US" w:bidi="en-US"/>
              </w:rPr>
              <w:t>20d</w:t>
            </w:r>
          </w:p>
        </w:tc>
      </w:tr>
    </w:tbl>
    <w:p w14:paraId="1D2150C5">
      <w:pPr>
        <w:pStyle w:val="7"/>
        <w:rPr>
          <w:rFonts w:hint="eastAsia"/>
          <w:sz w:val="22"/>
          <w:szCs w:val="22"/>
          <w:highlight w:val="none"/>
        </w:rPr>
        <w:sectPr>
          <w:pgSz w:w="11900" w:h="16840"/>
          <w:pgMar w:top="1440" w:right="1800" w:bottom="1440" w:left="1800" w:header="0" w:footer="3" w:gutter="0"/>
          <w:pgNumType w:fmt="decimal"/>
          <w:cols w:space="720" w:num="1"/>
          <w:docGrid w:linePitch="360" w:charSpace="0"/>
        </w:sectPr>
      </w:pPr>
    </w:p>
    <w:p w14:paraId="1DA6CC83">
      <w:pPr>
        <w:pStyle w:val="27"/>
        <w:keepNext/>
        <w:keepLines/>
        <w:spacing w:before="0" w:after="40"/>
        <w:rPr>
          <w:rFonts w:hint="eastAsia"/>
          <w:sz w:val="36"/>
          <w:szCs w:val="36"/>
          <w:highlight w:val="none"/>
        </w:rPr>
      </w:pPr>
      <w:bookmarkStart w:id="642" w:name="bookmark17"/>
      <w:bookmarkStart w:id="643" w:name="bookmark18"/>
      <w:bookmarkStart w:id="644" w:name="bookmark16"/>
      <w:r>
        <w:rPr>
          <w:rFonts w:hint="eastAsia"/>
          <w:sz w:val="36"/>
          <w:szCs w:val="36"/>
          <w:highlight w:val="none"/>
        </w:rPr>
        <w:t>附录</w:t>
      </w:r>
      <w:r>
        <w:rPr>
          <w:rFonts w:hint="eastAsia"/>
          <w:sz w:val="36"/>
          <w:szCs w:val="36"/>
          <w:highlight w:val="none"/>
          <w:lang w:val="en-US" w:eastAsia="zh-CN"/>
        </w:rPr>
        <w:t xml:space="preserve">D  </w:t>
      </w:r>
      <w:r>
        <w:rPr>
          <w:rFonts w:hint="eastAsia"/>
          <w:sz w:val="36"/>
          <w:szCs w:val="36"/>
          <w:highlight w:val="none"/>
        </w:rPr>
        <w:t>地被养护质量等级</w:t>
      </w:r>
      <w:bookmarkEnd w:id="642"/>
      <w:bookmarkEnd w:id="643"/>
      <w:bookmarkEnd w:id="644"/>
    </w:p>
    <w:tbl>
      <w:tblPr>
        <w:tblStyle w:val="14"/>
        <w:tblW w:w="0" w:type="auto"/>
        <w:jc w:val="center"/>
        <w:tblLayout w:type="fixed"/>
        <w:tblCellMar>
          <w:top w:w="0" w:type="dxa"/>
          <w:left w:w="10" w:type="dxa"/>
          <w:bottom w:w="0" w:type="dxa"/>
          <w:right w:w="10" w:type="dxa"/>
        </w:tblCellMar>
      </w:tblPr>
      <w:tblGrid>
        <w:gridCol w:w="466"/>
        <w:gridCol w:w="844"/>
        <w:gridCol w:w="2141"/>
        <w:gridCol w:w="2141"/>
        <w:gridCol w:w="2366"/>
      </w:tblGrid>
      <w:tr w14:paraId="0772BDC4">
        <w:tblPrEx>
          <w:tblCellMar>
            <w:top w:w="0" w:type="dxa"/>
            <w:left w:w="10" w:type="dxa"/>
            <w:bottom w:w="0" w:type="dxa"/>
            <w:right w:w="10" w:type="dxa"/>
          </w:tblCellMar>
        </w:tblPrEx>
        <w:trPr>
          <w:trHeight w:val="432" w:hRule="exact"/>
          <w:jc w:val="center"/>
        </w:trPr>
        <w:tc>
          <w:tcPr>
            <w:tcW w:w="466" w:type="dxa"/>
            <w:vMerge w:val="restart"/>
            <w:tcBorders>
              <w:top w:val="single" w:color="auto" w:sz="4" w:space="0"/>
              <w:left w:val="single" w:color="auto" w:sz="4" w:space="0"/>
            </w:tcBorders>
            <w:shd w:val="clear" w:color="auto" w:fill="FFFFFF"/>
            <w:noWrap w:val="0"/>
            <w:vAlign w:val="center"/>
          </w:tcPr>
          <w:p w14:paraId="12763D13">
            <w:pPr>
              <w:pStyle w:val="26"/>
              <w:spacing w:line="315" w:lineRule="exact"/>
              <w:jc w:val="center"/>
              <w:rPr>
                <w:rFonts w:hint="eastAsia"/>
                <w:highlight w:val="none"/>
              </w:rPr>
            </w:pPr>
            <w:r>
              <w:rPr>
                <w:rFonts w:hint="eastAsia"/>
                <w:highlight w:val="none"/>
              </w:rPr>
              <w:t>序 号</w:t>
            </w:r>
          </w:p>
        </w:tc>
        <w:tc>
          <w:tcPr>
            <w:tcW w:w="844" w:type="dxa"/>
            <w:vMerge w:val="restart"/>
            <w:tcBorders>
              <w:top w:val="single" w:color="auto" w:sz="4" w:space="0"/>
              <w:left w:val="single" w:color="auto" w:sz="4" w:space="0"/>
            </w:tcBorders>
            <w:shd w:val="clear" w:color="auto" w:fill="FFFFFF"/>
            <w:noWrap w:val="0"/>
            <w:vAlign w:val="center"/>
          </w:tcPr>
          <w:p w14:paraId="409920C1">
            <w:pPr>
              <w:pStyle w:val="26"/>
              <w:spacing w:line="240" w:lineRule="auto"/>
              <w:ind w:firstLine="200"/>
              <w:jc w:val="left"/>
              <w:rPr>
                <w:rFonts w:hint="eastAsia"/>
                <w:highlight w:val="none"/>
              </w:rPr>
            </w:pPr>
            <w:r>
              <w:rPr>
                <w:rFonts w:hint="eastAsia"/>
                <w:highlight w:val="none"/>
              </w:rPr>
              <w:t>项目</w:t>
            </w:r>
          </w:p>
        </w:tc>
        <w:tc>
          <w:tcPr>
            <w:tcW w:w="6648" w:type="dxa"/>
            <w:gridSpan w:val="3"/>
            <w:tcBorders>
              <w:top w:val="single" w:color="auto" w:sz="4" w:space="0"/>
              <w:left w:val="single" w:color="auto" w:sz="4" w:space="0"/>
              <w:right w:val="single" w:color="auto" w:sz="4" w:space="0"/>
            </w:tcBorders>
            <w:shd w:val="clear" w:color="auto" w:fill="FFFFFF"/>
            <w:noWrap w:val="0"/>
            <w:vAlign w:val="center"/>
          </w:tcPr>
          <w:p w14:paraId="58ED54FB">
            <w:pPr>
              <w:pStyle w:val="26"/>
              <w:spacing w:line="240" w:lineRule="auto"/>
              <w:jc w:val="center"/>
              <w:rPr>
                <w:rFonts w:hint="eastAsia"/>
                <w:highlight w:val="none"/>
              </w:rPr>
            </w:pPr>
            <w:r>
              <w:rPr>
                <w:rFonts w:hint="eastAsia"/>
                <w:highlight w:val="none"/>
              </w:rPr>
              <w:t>质</w:t>
            </w:r>
            <w:r>
              <w:rPr>
                <w:rFonts w:hint="eastAsia"/>
                <w:highlight w:val="none"/>
                <w:lang w:val="en-US" w:eastAsia="zh-CN"/>
              </w:rPr>
              <w:t>量</w:t>
            </w:r>
            <w:r>
              <w:rPr>
                <w:rFonts w:hint="eastAsia"/>
                <w:highlight w:val="none"/>
              </w:rPr>
              <w:t>要求</w:t>
            </w:r>
          </w:p>
        </w:tc>
      </w:tr>
      <w:tr w14:paraId="217BFB2F">
        <w:tblPrEx>
          <w:tblCellMar>
            <w:top w:w="0" w:type="dxa"/>
            <w:left w:w="10" w:type="dxa"/>
            <w:bottom w:w="0" w:type="dxa"/>
            <w:right w:w="10" w:type="dxa"/>
          </w:tblCellMar>
        </w:tblPrEx>
        <w:trPr>
          <w:trHeight w:val="432" w:hRule="exact"/>
          <w:jc w:val="center"/>
        </w:trPr>
        <w:tc>
          <w:tcPr>
            <w:tcW w:w="466" w:type="dxa"/>
            <w:vMerge w:val="continue"/>
            <w:tcBorders>
              <w:left w:val="single" w:color="auto" w:sz="4" w:space="0"/>
            </w:tcBorders>
            <w:shd w:val="clear" w:color="auto" w:fill="FFFFFF"/>
            <w:noWrap w:val="0"/>
            <w:vAlign w:val="center"/>
          </w:tcPr>
          <w:p w14:paraId="19469F4B">
            <w:pPr>
              <w:rPr>
                <w:rFonts w:hint="eastAsia" w:ascii="宋体" w:hAnsi="宋体" w:cs="宋体"/>
                <w:sz w:val="22"/>
                <w:szCs w:val="24"/>
                <w:highlight w:val="none"/>
              </w:rPr>
            </w:pPr>
          </w:p>
        </w:tc>
        <w:tc>
          <w:tcPr>
            <w:tcW w:w="844" w:type="dxa"/>
            <w:vMerge w:val="continue"/>
            <w:tcBorders>
              <w:left w:val="single" w:color="auto" w:sz="4" w:space="0"/>
            </w:tcBorders>
            <w:shd w:val="clear" w:color="auto" w:fill="FFFFFF"/>
            <w:noWrap w:val="0"/>
            <w:vAlign w:val="center"/>
          </w:tcPr>
          <w:p w14:paraId="5236A6B1">
            <w:pPr>
              <w:rPr>
                <w:rFonts w:hint="eastAsia" w:ascii="宋体" w:hAnsi="宋体" w:cs="宋体"/>
                <w:sz w:val="22"/>
                <w:szCs w:val="24"/>
                <w:highlight w:val="none"/>
              </w:rPr>
            </w:pPr>
          </w:p>
        </w:tc>
        <w:tc>
          <w:tcPr>
            <w:tcW w:w="2141" w:type="dxa"/>
            <w:tcBorders>
              <w:top w:val="single" w:color="auto" w:sz="4" w:space="0"/>
              <w:left w:val="single" w:color="auto" w:sz="4" w:space="0"/>
            </w:tcBorders>
            <w:shd w:val="clear" w:color="auto" w:fill="FFFFFF"/>
            <w:noWrap w:val="0"/>
            <w:vAlign w:val="center"/>
          </w:tcPr>
          <w:p w14:paraId="319A4F08">
            <w:pPr>
              <w:pStyle w:val="26"/>
              <w:spacing w:line="240" w:lineRule="auto"/>
              <w:jc w:val="center"/>
              <w:rPr>
                <w:rFonts w:hint="eastAsia"/>
                <w:highlight w:val="none"/>
              </w:rPr>
            </w:pPr>
            <w:r>
              <w:rPr>
                <w:rFonts w:hint="eastAsia"/>
                <w:highlight w:val="none"/>
                <w:lang w:val="en-US" w:eastAsia="zh-CN"/>
              </w:rPr>
              <w:t>一</w:t>
            </w:r>
            <w:r>
              <w:rPr>
                <w:rFonts w:hint="eastAsia"/>
                <w:highlight w:val="none"/>
              </w:rPr>
              <w:t>级</w:t>
            </w:r>
          </w:p>
        </w:tc>
        <w:tc>
          <w:tcPr>
            <w:tcW w:w="2141" w:type="dxa"/>
            <w:tcBorders>
              <w:top w:val="single" w:color="auto" w:sz="4" w:space="0"/>
              <w:left w:val="single" w:color="auto" w:sz="4" w:space="0"/>
            </w:tcBorders>
            <w:shd w:val="clear" w:color="auto" w:fill="FFFFFF"/>
            <w:noWrap w:val="0"/>
            <w:vAlign w:val="center"/>
          </w:tcPr>
          <w:p w14:paraId="2E1A23F7">
            <w:pPr>
              <w:pStyle w:val="26"/>
              <w:spacing w:line="240" w:lineRule="auto"/>
              <w:jc w:val="center"/>
              <w:rPr>
                <w:rFonts w:hint="eastAsia"/>
                <w:highlight w:val="none"/>
                <w:lang w:eastAsia="zh-CN"/>
              </w:rPr>
            </w:pPr>
            <w:r>
              <w:rPr>
                <w:rFonts w:hint="eastAsia"/>
                <w:highlight w:val="none"/>
              </w:rPr>
              <w:t>二</w:t>
            </w:r>
            <w:r>
              <w:rPr>
                <w:rFonts w:hint="eastAsia"/>
                <w:highlight w:val="none"/>
                <w:lang w:val="en-US" w:eastAsia="zh-CN"/>
              </w:rPr>
              <w:t>级</w:t>
            </w:r>
          </w:p>
        </w:tc>
        <w:tc>
          <w:tcPr>
            <w:tcW w:w="2366" w:type="dxa"/>
            <w:tcBorders>
              <w:top w:val="single" w:color="auto" w:sz="4" w:space="0"/>
              <w:left w:val="single" w:color="auto" w:sz="4" w:space="0"/>
              <w:right w:val="single" w:color="auto" w:sz="4" w:space="0"/>
            </w:tcBorders>
            <w:shd w:val="clear" w:color="auto" w:fill="FFFFFF"/>
            <w:noWrap w:val="0"/>
            <w:vAlign w:val="center"/>
          </w:tcPr>
          <w:p w14:paraId="2874BCDF">
            <w:pPr>
              <w:pStyle w:val="26"/>
              <w:spacing w:line="240" w:lineRule="auto"/>
              <w:jc w:val="center"/>
              <w:rPr>
                <w:rFonts w:hint="eastAsia"/>
                <w:highlight w:val="none"/>
              </w:rPr>
            </w:pPr>
            <w:r>
              <w:rPr>
                <w:rFonts w:hint="eastAsia"/>
                <w:highlight w:val="none"/>
              </w:rPr>
              <w:t>三级</w:t>
            </w:r>
          </w:p>
        </w:tc>
      </w:tr>
      <w:tr w14:paraId="7B42D265">
        <w:tblPrEx>
          <w:tblCellMar>
            <w:top w:w="0" w:type="dxa"/>
            <w:left w:w="10" w:type="dxa"/>
            <w:bottom w:w="0" w:type="dxa"/>
            <w:right w:w="10" w:type="dxa"/>
          </w:tblCellMar>
        </w:tblPrEx>
        <w:trPr>
          <w:trHeight w:val="1523" w:hRule="exact"/>
          <w:jc w:val="center"/>
        </w:trPr>
        <w:tc>
          <w:tcPr>
            <w:tcW w:w="466" w:type="dxa"/>
            <w:tcBorders>
              <w:top w:val="single" w:color="auto" w:sz="4" w:space="0"/>
              <w:left w:val="single" w:color="auto" w:sz="4" w:space="0"/>
            </w:tcBorders>
            <w:shd w:val="clear" w:color="auto" w:fill="FFFFFF"/>
            <w:noWrap w:val="0"/>
            <w:vAlign w:val="center"/>
          </w:tcPr>
          <w:p w14:paraId="24B4CAD1">
            <w:pPr>
              <w:pStyle w:val="26"/>
              <w:spacing w:line="240" w:lineRule="auto"/>
              <w:ind w:firstLine="200" w:firstLineChars="100"/>
              <w:jc w:val="left"/>
              <w:rPr>
                <w:rFonts w:hint="eastAsia"/>
                <w:highlight w:val="none"/>
              </w:rPr>
            </w:pPr>
            <w:r>
              <w:rPr>
                <w:rFonts w:hint="eastAsia"/>
                <w:highlight w:val="none"/>
              </w:rPr>
              <w:t>1</w:t>
            </w:r>
          </w:p>
        </w:tc>
        <w:tc>
          <w:tcPr>
            <w:tcW w:w="844" w:type="dxa"/>
            <w:tcBorders>
              <w:top w:val="single" w:color="auto" w:sz="4" w:space="0"/>
              <w:left w:val="single" w:color="auto" w:sz="4" w:space="0"/>
            </w:tcBorders>
            <w:shd w:val="clear" w:color="auto" w:fill="FFFFFF"/>
            <w:noWrap w:val="0"/>
            <w:vAlign w:val="center"/>
          </w:tcPr>
          <w:p w14:paraId="708CC546">
            <w:pPr>
              <w:pStyle w:val="26"/>
              <w:spacing w:line="240" w:lineRule="auto"/>
              <w:jc w:val="center"/>
              <w:rPr>
                <w:rFonts w:hint="eastAsia"/>
                <w:highlight w:val="none"/>
              </w:rPr>
            </w:pPr>
            <w:r>
              <w:rPr>
                <w:rFonts w:hint="eastAsia"/>
                <w:highlight w:val="none"/>
              </w:rPr>
              <w:t>整体效果</w:t>
            </w:r>
          </w:p>
        </w:tc>
        <w:tc>
          <w:tcPr>
            <w:tcW w:w="2141" w:type="dxa"/>
            <w:tcBorders>
              <w:top w:val="single" w:color="auto" w:sz="4" w:space="0"/>
              <w:left w:val="single" w:color="auto" w:sz="4" w:space="0"/>
            </w:tcBorders>
            <w:shd w:val="clear" w:color="auto" w:fill="FFFFFF"/>
            <w:noWrap w:val="0"/>
            <w:vAlign w:val="center"/>
          </w:tcPr>
          <w:p w14:paraId="0C228521">
            <w:pPr>
              <w:pStyle w:val="26"/>
              <w:spacing w:line="307" w:lineRule="exact"/>
              <w:ind w:firstLine="260"/>
              <w:rPr>
                <w:rFonts w:hint="eastAsia"/>
                <w:highlight w:val="none"/>
                <w:lang w:eastAsia="zh-CN"/>
              </w:rPr>
            </w:pPr>
            <w:r>
              <w:rPr>
                <w:rFonts w:hint="eastAsia"/>
                <w:highlight w:val="none"/>
                <w:lang w:eastAsia="zh-CN"/>
              </w:rPr>
              <w:t>（</w:t>
            </w:r>
            <w:r>
              <w:rPr>
                <w:rFonts w:hint="eastAsia"/>
                <w:highlight w:val="none"/>
              </w:rPr>
              <w:t xml:space="preserve">1 </w:t>
            </w:r>
            <w:r>
              <w:rPr>
                <w:rFonts w:hint="eastAsia"/>
                <w:highlight w:val="none"/>
                <w:lang w:eastAsia="zh-CN"/>
              </w:rPr>
              <w:t>）</w:t>
            </w:r>
            <w:r>
              <w:rPr>
                <w:rFonts w:hint="eastAsia"/>
                <w:highlight w:val="none"/>
              </w:rPr>
              <w:t>植株规格一致</w:t>
            </w:r>
            <w:r>
              <w:rPr>
                <w:rFonts w:hint="eastAsia"/>
                <w:highlight w:val="none"/>
                <w:lang w:eastAsia="zh-CN"/>
              </w:rPr>
              <w:t>；</w:t>
            </w:r>
          </w:p>
          <w:p w14:paraId="430FE1D1">
            <w:pPr>
              <w:pStyle w:val="26"/>
              <w:spacing w:line="307" w:lineRule="exact"/>
              <w:ind w:firstLine="260"/>
              <w:rPr>
                <w:rFonts w:hint="eastAsia"/>
                <w:highlight w:val="none"/>
              </w:rPr>
            </w:pPr>
            <w:r>
              <w:rPr>
                <w:rFonts w:hint="eastAsia"/>
                <w:highlight w:val="none"/>
                <w:lang w:eastAsia="zh-CN"/>
              </w:rPr>
              <w:t>（</w:t>
            </w:r>
            <w:r>
              <w:rPr>
                <w:rFonts w:hint="eastAsia"/>
                <w:highlight w:val="none"/>
              </w:rPr>
              <w:t>2）无死株</w:t>
            </w:r>
            <w:r>
              <w:rPr>
                <w:rFonts w:hint="eastAsia"/>
                <w:highlight w:val="none"/>
                <w:lang w:val="en-US" w:eastAsia="zh-CN" w:bidi="en-US"/>
              </w:rPr>
              <w:t>，</w:t>
            </w:r>
            <w:r>
              <w:rPr>
                <w:rFonts w:hint="eastAsia"/>
                <w:highlight w:val="none"/>
              </w:rPr>
              <w:t xml:space="preserve">群体 </w:t>
            </w:r>
            <w:r>
              <w:rPr>
                <w:rFonts w:hint="eastAsia"/>
                <w:highlight w:val="none"/>
                <w:lang w:val="en-US" w:eastAsia="zh-CN"/>
              </w:rPr>
              <w:t>景</w:t>
            </w:r>
            <w:r>
              <w:rPr>
                <w:rFonts w:hint="eastAsia"/>
                <w:highlight w:val="none"/>
              </w:rPr>
              <w:t>观效果好</w:t>
            </w:r>
          </w:p>
        </w:tc>
        <w:tc>
          <w:tcPr>
            <w:tcW w:w="2141" w:type="dxa"/>
            <w:tcBorders>
              <w:top w:val="single" w:color="auto" w:sz="4" w:space="0"/>
              <w:left w:val="single" w:color="auto" w:sz="4" w:space="0"/>
            </w:tcBorders>
            <w:shd w:val="clear" w:color="auto" w:fill="FFFFFF"/>
            <w:noWrap w:val="0"/>
            <w:vAlign w:val="center"/>
          </w:tcPr>
          <w:p w14:paraId="59128096">
            <w:pPr>
              <w:pStyle w:val="26"/>
              <w:spacing w:line="315" w:lineRule="exact"/>
              <w:ind w:firstLine="260"/>
              <w:rPr>
                <w:rFonts w:hint="eastAsia"/>
                <w:highlight w:val="none"/>
              </w:rPr>
            </w:pPr>
            <w:r>
              <w:rPr>
                <w:rFonts w:hint="eastAsia"/>
                <w:highlight w:val="none"/>
                <w:lang w:eastAsia="zh-CN"/>
              </w:rPr>
              <w:t>（</w:t>
            </w:r>
            <w:r>
              <w:rPr>
                <w:rFonts w:hint="eastAsia"/>
                <w:highlight w:val="none"/>
              </w:rPr>
              <w:t>1）植株规格基本 一致；</w:t>
            </w:r>
          </w:p>
          <w:p w14:paraId="068C6F93">
            <w:pPr>
              <w:pStyle w:val="26"/>
              <w:spacing w:line="330" w:lineRule="exact"/>
              <w:ind w:firstLine="260"/>
              <w:rPr>
                <w:rFonts w:hint="eastAsia"/>
                <w:highlight w:val="none"/>
              </w:rPr>
            </w:pPr>
            <w:r>
              <w:rPr>
                <w:rFonts w:hint="eastAsia"/>
                <w:highlight w:val="none"/>
                <w:lang w:eastAsia="zh-CN"/>
              </w:rPr>
              <w:t>（</w:t>
            </w:r>
            <w:r>
              <w:rPr>
                <w:rFonts w:hint="eastAsia"/>
                <w:highlight w:val="none"/>
              </w:rPr>
              <w:t>2）基本无死株</w:t>
            </w:r>
            <w:r>
              <w:rPr>
                <w:rFonts w:hint="eastAsia"/>
                <w:highlight w:val="none"/>
                <w:lang w:val="en-US" w:eastAsia="zh-CN" w:bidi="en-US"/>
              </w:rPr>
              <w:t xml:space="preserve">， </w:t>
            </w:r>
            <w:r>
              <w:rPr>
                <w:rFonts w:hint="eastAsia"/>
                <w:highlight w:val="none"/>
              </w:rPr>
              <w:t>群体景观效果较好</w:t>
            </w:r>
          </w:p>
        </w:tc>
        <w:tc>
          <w:tcPr>
            <w:tcW w:w="2366" w:type="dxa"/>
            <w:tcBorders>
              <w:top w:val="single" w:color="auto" w:sz="4" w:space="0"/>
              <w:left w:val="single" w:color="auto" w:sz="4" w:space="0"/>
              <w:right w:val="single" w:color="auto" w:sz="4" w:space="0"/>
            </w:tcBorders>
            <w:shd w:val="clear" w:color="auto" w:fill="FFFFFF"/>
            <w:noWrap w:val="0"/>
            <w:vAlign w:val="center"/>
          </w:tcPr>
          <w:p w14:paraId="716AD667">
            <w:pPr>
              <w:pStyle w:val="26"/>
              <w:spacing w:line="240" w:lineRule="auto"/>
              <w:ind w:firstLine="260"/>
              <w:jc w:val="left"/>
              <w:rPr>
                <w:rFonts w:hint="eastAsia"/>
                <w:highlight w:val="none"/>
              </w:rPr>
            </w:pPr>
            <w:r>
              <w:rPr>
                <w:rFonts w:hint="eastAsia"/>
                <w:highlight w:val="none"/>
              </w:rPr>
              <w:t>群体景现效果较好</w:t>
            </w:r>
          </w:p>
        </w:tc>
      </w:tr>
      <w:tr w14:paraId="45171867">
        <w:tblPrEx>
          <w:tblCellMar>
            <w:top w:w="0" w:type="dxa"/>
            <w:left w:w="10" w:type="dxa"/>
            <w:bottom w:w="0" w:type="dxa"/>
            <w:right w:w="10" w:type="dxa"/>
          </w:tblCellMar>
        </w:tblPrEx>
        <w:trPr>
          <w:trHeight w:val="415" w:hRule="exact"/>
          <w:jc w:val="center"/>
        </w:trPr>
        <w:tc>
          <w:tcPr>
            <w:tcW w:w="466" w:type="dxa"/>
            <w:tcBorders>
              <w:top w:val="single" w:color="auto" w:sz="4" w:space="0"/>
              <w:left w:val="single" w:color="auto" w:sz="4" w:space="0"/>
            </w:tcBorders>
            <w:shd w:val="clear" w:color="auto" w:fill="FFFFFF"/>
            <w:noWrap w:val="0"/>
            <w:vAlign w:val="top"/>
          </w:tcPr>
          <w:p w14:paraId="7FB9E79B">
            <w:pPr>
              <w:pStyle w:val="26"/>
              <w:spacing w:line="240" w:lineRule="auto"/>
              <w:ind w:firstLine="200" w:firstLineChars="100"/>
              <w:jc w:val="left"/>
              <w:rPr>
                <w:rFonts w:hint="eastAsia"/>
                <w:highlight w:val="none"/>
              </w:rPr>
            </w:pPr>
            <w:r>
              <w:rPr>
                <w:rFonts w:hint="eastAsia"/>
                <w:highlight w:val="none"/>
              </w:rPr>
              <w:t>2</w:t>
            </w:r>
          </w:p>
        </w:tc>
        <w:tc>
          <w:tcPr>
            <w:tcW w:w="844" w:type="dxa"/>
            <w:tcBorders>
              <w:top w:val="single" w:color="auto" w:sz="4" w:space="0"/>
              <w:left w:val="single" w:color="auto" w:sz="4" w:space="0"/>
            </w:tcBorders>
            <w:shd w:val="clear" w:color="auto" w:fill="FFFFFF"/>
            <w:noWrap w:val="0"/>
            <w:vAlign w:val="top"/>
          </w:tcPr>
          <w:p w14:paraId="15D258C2">
            <w:pPr>
              <w:pStyle w:val="26"/>
              <w:spacing w:line="240" w:lineRule="auto"/>
              <w:jc w:val="left"/>
              <w:rPr>
                <w:rFonts w:hint="eastAsia"/>
                <w:highlight w:val="none"/>
              </w:rPr>
            </w:pPr>
            <w:r>
              <w:rPr>
                <w:rFonts w:hint="eastAsia"/>
                <w:highlight w:val="none"/>
              </w:rPr>
              <w:t>生长势</w:t>
            </w:r>
          </w:p>
        </w:tc>
        <w:tc>
          <w:tcPr>
            <w:tcW w:w="2141" w:type="dxa"/>
            <w:tcBorders>
              <w:top w:val="single" w:color="auto" w:sz="4" w:space="0"/>
              <w:left w:val="single" w:color="auto" w:sz="4" w:space="0"/>
            </w:tcBorders>
            <w:shd w:val="clear" w:color="auto" w:fill="FFFFFF"/>
            <w:noWrap w:val="0"/>
            <w:vAlign w:val="top"/>
          </w:tcPr>
          <w:p w14:paraId="45C4DBBE">
            <w:pPr>
              <w:pStyle w:val="26"/>
              <w:spacing w:line="240" w:lineRule="auto"/>
              <w:ind w:firstLine="260"/>
              <w:rPr>
                <w:rFonts w:hint="eastAsia"/>
                <w:highlight w:val="none"/>
              </w:rPr>
            </w:pPr>
            <w:r>
              <w:rPr>
                <w:rFonts w:hint="eastAsia"/>
                <w:highlight w:val="none"/>
              </w:rPr>
              <w:t>生</w:t>
            </w:r>
            <w:r>
              <w:rPr>
                <w:rFonts w:hint="eastAsia"/>
                <w:highlight w:val="none"/>
                <w:lang w:val="en-US" w:eastAsia="zh-CN"/>
              </w:rPr>
              <w:t>长</w:t>
            </w:r>
            <w:r>
              <w:rPr>
                <w:rFonts w:hint="eastAsia"/>
                <w:highlight w:val="none"/>
              </w:rPr>
              <w:t>茂盛</w:t>
            </w:r>
          </w:p>
        </w:tc>
        <w:tc>
          <w:tcPr>
            <w:tcW w:w="2141" w:type="dxa"/>
            <w:tcBorders>
              <w:top w:val="single" w:color="auto" w:sz="4" w:space="0"/>
              <w:left w:val="single" w:color="auto" w:sz="4" w:space="0"/>
            </w:tcBorders>
            <w:shd w:val="clear" w:color="auto" w:fill="FFFFFF"/>
            <w:noWrap w:val="0"/>
            <w:vAlign w:val="top"/>
          </w:tcPr>
          <w:p w14:paraId="4B9C5260">
            <w:pPr>
              <w:pStyle w:val="26"/>
              <w:spacing w:line="240" w:lineRule="auto"/>
              <w:ind w:firstLine="260"/>
              <w:rPr>
                <w:rFonts w:hint="eastAsia"/>
                <w:highlight w:val="none"/>
              </w:rPr>
            </w:pPr>
            <w:r>
              <w:rPr>
                <w:rFonts w:hint="eastAsia"/>
                <w:highlight w:val="none"/>
              </w:rPr>
              <w:t>生</w:t>
            </w:r>
            <w:r>
              <w:rPr>
                <w:rFonts w:hint="eastAsia"/>
                <w:highlight w:val="none"/>
                <w:lang w:val="en-US" w:eastAsia="zh-CN"/>
              </w:rPr>
              <w:t>长</w:t>
            </w:r>
            <w:r>
              <w:rPr>
                <w:rFonts w:hint="eastAsia"/>
                <w:highlight w:val="none"/>
                <w:lang w:val="zh-CN" w:eastAsia="zh-CN" w:bidi="zh-CN"/>
              </w:rPr>
              <w:t>良好</w:t>
            </w:r>
          </w:p>
        </w:tc>
        <w:tc>
          <w:tcPr>
            <w:tcW w:w="2366" w:type="dxa"/>
            <w:tcBorders>
              <w:top w:val="single" w:color="auto" w:sz="4" w:space="0"/>
              <w:left w:val="single" w:color="auto" w:sz="4" w:space="0"/>
              <w:right w:val="single" w:color="auto" w:sz="4" w:space="0"/>
            </w:tcBorders>
            <w:shd w:val="clear" w:color="auto" w:fill="FFFFFF"/>
            <w:noWrap w:val="0"/>
            <w:vAlign w:val="top"/>
          </w:tcPr>
          <w:p w14:paraId="749FB555">
            <w:pPr>
              <w:pStyle w:val="26"/>
              <w:spacing w:line="240" w:lineRule="auto"/>
              <w:ind w:firstLine="260"/>
              <w:jc w:val="left"/>
              <w:rPr>
                <w:rFonts w:hint="eastAsia"/>
                <w:highlight w:val="none"/>
              </w:rPr>
            </w:pPr>
            <w:r>
              <w:rPr>
                <w:rFonts w:hint="eastAsia"/>
                <w:highlight w:val="none"/>
              </w:rPr>
              <w:t>生长基本正常</w:t>
            </w:r>
          </w:p>
        </w:tc>
      </w:tr>
      <w:tr w14:paraId="7A097A2E">
        <w:tblPrEx>
          <w:tblCellMar>
            <w:top w:w="0" w:type="dxa"/>
            <w:left w:w="10" w:type="dxa"/>
            <w:bottom w:w="0" w:type="dxa"/>
            <w:right w:w="10" w:type="dxa"/>
          </w:tblCellMar>
        </w:tblPrEx>
        <w:trPr>
          <w:trHeight w:val="415" w:hRule="exact"/>
          <w:jc w:val="center"/>
        </w:trPr>
        <w:tc>
          <w:tcPr>
            <w:tcW w:w="466" w:type="dxa"/>
            <w:tcBorders>
              <w:top w:val="single" w:color="auto" w:sz="4" w:space="0"/>
              <w:left w:val="single" w:color="auto" w:sz="4" w:space="0"/>
            </w:tcBorders>
            <w:shd w:val="clear" w:color="auto" w:fill="FFFFFF"/>
            <w:noWrap w:val="0"/>
            <w:vAlign w:val="top"/>
          </w:tcPr>
          <w:p w14:paraId="0D7A34B5">
            <w:pPr>
              <w:pStyle w:val="26"/>
              <w:spacing w:line="240" w:lineRule="auto"/>
              <w:ind w:firstLine="200" w:firstLineChars="100"/>
              <w:jc w:val="left"/>
              <w:rPr>
                <w:rFonts w:hint="eastAsia"/>
                <w:highlight w:val="none"/>
              </w:rPr>
            </w:pPr>
          </w:p>
        </w:tc>
        <w:tc>
          <w:tcPr>
            <w:tcW w:w="844" w:type="dxa"/>
            <w:tcBorders>
              <w:top w:val="single" w:color="auto" w:sz="4" w:space="0"/>
              <w:left w:val="single" w:color="auto" w:sz="4" w:space="0"/>
            </w:tcBorders>
            <w:shd w:val="clear" w:color="auto" w:fill="FFFFFF"/>
            <w:noWrap w:val="0"/>
            <w:vAlign w:val="top"/>
          </w:tcPr>
          <w:p w14:paraId="61BC4DEC">
            <w:pPr>
              <w:pStyle w:val="26"/>
              <w:spacing w:line="240" w:lineRule="auto"/>
              <w:jc w:val="left"/>
              <w:rPr>
                <w:rFonts w:hint="eastAsia"/>
                <w:highlight w:val="none"/>
              </w:rPr>
            </w:pPr>
          </w:p>
        </w:tc>
        <w:tc>
          <w:tcPr>
            <w:tcW w:w="2141" w:type="dxa"/>
            <w:tcBorders>
              <w:top w:val="single" w:color="auto" w:sz="4" w:space="0"/>
              <w:left w:val="single" w:color="auto" w:sz="4" w:space="0"/>
            </w:tcBorders>
            <w:shd w:val="clear" w:color="auto" w:fill="FFFFFF"/>
            <w:noWrap w:val="0"/>
            <w:vAlign w:val="top"/>
          </w:tcPr>
          <w:p w14:paraId="7E100A17">
            <w:pPr>
              <w:pStyle w:val="26"/>
              <w:spacing w:line="240" w:lineRule="auto"/>
              <w:ind w:firstLine="260"/>
              <w:rPr>
                <w:rFonts w:hint="eastAsia"/>
                <w:highlight w:val="none"/>
              </w:rPr>
            </w:pPr>
          </w:p>
        </w:tc>
        <w:tc>
          <w:tcPr>
            <w:tcW w:w="2141" w:type="dxa"/>
            <w:tcBorders>
              <w:top w:val="single" w:color="auto" w:sz="4" w:space="0"/>
              <w:left w:val="single" w:color="auto" w:sz="4" w:space="0"/>
            </w:tcBorders>
            <w:shd w:val="clear" w:color="auto" w:fill="FFFFFF"/>
            <w:noWrap w:val="0"/>
            <w:vAlign w:val="top"/>
          </w:tcPr>
          <w:p w14:paraId="13F38494">
            <w:pPr>
              <w:pStyle w:val="26"/>
              <w:spacing w:line="240" w:lineRule="auto"/>
              <w:ind w:firstLine="260"/>
              <w:rPr>
                <w:rFonts w:hint="eastAsia"/>
                <w:highlight w:val="none"/>
              </w:rPr>
            </w:pPr>
          </w:p>
        </w:tc>
        <w:tc>
          <w:tcPr>
            <w:tcW w:w="2366" w:type="dxa"/>
            <w:tcBorders>
              <w:top w:val="single" w:color="auto" w:sz="4" w:space="0"/>
              <w:left w:val="single" w:color="auto" w:sz="4" w:space="0"/>
              <w:right w:val="single" w:color="auto" w:sz="4" w:space="0"/>
            </w:tcBorders>
            <w:shd w:val="clear" w:color="auto" w:fill="FFFFFF"/>
            <w:noWrap w:val="0"/>
            <w:vAlign w:val="top"/>
          </w:tcPr>
          <w:p w14:paraId="6D22127A">
            <w:pPr>
              <w:pStyle w:val="26"/>
              <w:spacing w:line="240" w:lineRule="auto"/>
              <w:ind w:firstLine="260"/>
              <w:jc w:val="left"/>
              <w:rPr>
                <w:rFonts w:hint="eastAsia"/>
                <w:highlight w:val="none"/>
              </w:rPr>
            </w:pPr>
          </w:p>
        </w:tc>
      </w:tr>
      <w:tr w14:paraId="26E218E5">
        <w:tblPrEx>
          <w:tblCellMar>
            <w:top w:w="0" w:type="dxa"/>
            <w:left w:w="10" w:type="dxa"/>
            <w:bottom w:w="0" w:type="dxa"/>
            <w:right w:w="10" w:type="dxa"/>
          </w:tblCellMar>
        </w:tblPrEx>
        <w:trPr>
          <w:trHeight w:val="2147" w:hRule="exact"/>
          <w:jc w:val="center"/>
        </w:trPr>
        <w:tc>
          <w:tcPr>
            <w:tcW w:w="466" w:type="dxa"/>
            <w:tcBorders>
              <w:top w:val="single" w:color="auto" w:sz="4" w:space="0"/>
              <w:left w:val="single" w:color="auto" w:sz="4" w:space="0"/>
            </w:tcBorders>
            <w:shd w:val="clear" w:color="auto" w:fill="FFFFFF"/>
            <w:noWrap w:val="0"/>
            <w:vAlign w:val="center"/>
          </w:tcPr>
          <w:p w14:paraId="283E008B">
            <w:pPr>
              <w:pStyle w:val="26"/>
              <w:spacing w:line="240" w:lineRule="auto"/>
              <w:ind w:firstLine="200" w:firstLineChars="100"/>
              <w:jc w:val="left"/>
              <w:rPr>
                <w:rFonts w:hint="eastAsia"/>
                <w:highlight w:val="none"/>
              </w:rPr>
            </w:pPr>
            <w:r>
              <w:rPr>
                <w:rFonts w:hint="eastAsia"/>
                <w:highlight w:val="none"/>
              </w:rPr>
              <w:t>3</w:t>
            </w:r>
          </w:p>
        </w:tc>
        <w:tc>
          <w:tcPr>
            <w:tcW w:w="844" w:type="dxa"/>
            <w:tcBorders>
              <w:top w:val="single" w:color="auto" w:sz="4" w:space="0"/>
              <w:left w:val="single" w:color="auto" w:sz="4" w:space="0"/>
            </w:tcBorders>
            <w:shd w:val="clear" w:color="auto" w:fill="FFFFFF"/>
            <w:noWrap w:val="0"/>
            <w:vAlign w:val="center"/>
          </w:tcPr>
          <w:p w14:paraId="05C7EED8">
            <w:pPr>
              <w:pStyle w:val="26"/>
              <w:spacing w:line="240" w:lineRule="auto"/>
              <w:ind w:firstLine="200"/>
              <w:jc w:val="left"/>
              <w:rPr>
                <w:rFonts w:hint="eastAsia"/>
                <w:highlight w:val="none"/>
              </w:rPr>
            </w:pPr>
            <w:r>
              <w:rPr>
                <w:rFonts w:hint="eastAsia"/>
                <w:highlight w:val="none"/>
              </w:rPr>
              <w:t>排灌</w:t>
            </w:r>
          </w:p>
        </w:tc>
        <w:tc>
          <w:tcPr>
            <w:tcW w:w="2141" w:type="dxa"/>
            <w:tcBorders>
              <w:top w:val="single" w:color="auto" w:sz="4" w:space="0"/>
              <w:left w:val="single" w:color="auto" w:sz="4" w:space="0"/>
            </w:tcBorders>
            <w:shd w:val="clear" w:color="auto" w:fill="FFFFFF"/>
            <w:noWrap w:val="0"/>
            <w:vAlign w:val="bottom"/>
          </w:tcPr>
          <w:p w14:paraId="55699BCB">
            <w:pPr>
              <w:pStyle w:val="26"/>
              <w:spacing w:line="310" w:lineRule="exact"/>
              <w:rPr>
                <w:rFonts w:hint="eastAsia"/>
                <w:highlight w:val="none"/>
              </w:rPr>
            </w:pPr>
            <w:r>
              <w:rPr>
                <w:rFonts w:hint="eastAsia"/>
                <w:highlight w:val="none"/>
              </w:rPr>
              <w:t>（1）木本地被</w:t>
            </w:r>
            <w:r>
              <w:rPr>
                <w:rFonts w:hint="eastAsia"/>
                <w:highlight w:val="none"/>
                <w:lang w:val="en-US" w:eastAsia="zh-CN"/>
              </w:rPr>
              <w:t>暴</w:t>
            </w:r>
            <w:r>
              <w:rPr>
                <w:rFonts w:hint="eastAsia"/>
                <w:highlight w:val="none"/>
              </w:rPr>
              <w:t xml:space="preserve">雨 </w:t>
            </w:r>
            <w:r>
              <w:rPr>
                <w:rFonts w:hint="eastAsia"/>
                <w:highlight w:val="none"/>
                <w:lang w:val="en-US" w:eastAsia="zh-CN"/>
              </w:rPr>
              <w:t>后</w:t>
            </w:r>
            <w:r>
              <w:rPr>
                <w:rFonts w:hint="eastAsia"/>
                <w:highlight w:val="none"/>
                <w:lang w:val="en-US" w:eastAsia="zh-CN" w:bidi="en-US"/>
              </w:rPr>
              <w:t>o.5d</w:t>
            </w:r>
            <w:r>
              <w:rPr>
                <w:rFonts w:hint="eastAsia"/>
                <w:highlight w:val="none"/>
              </w:rPr>
              <w:t>内无</w:t>
            </w:r>
            <w:r>
              <w:rPr>
                <w:rFonts w:hint="eastAsia"/>
                <w:highlight w:val="none"/>
                <w:lang w:val="en-US" w:eastAsia="zh-CN"/>
              </w:rPr>
              <w:t>积水；</w:t>
            </w:r>
            <w:r>
              <w:rPr>
                <w:rFonts w:hint="eastAsia"/>
                <w:highlight w:val="none"/>
              </w:rPr>
              <w:t xml:space="preserve"> 草本地被雨后</w:t>
            </w:r>
            <w:r>
              <w:rPr>
                <w:rFonts w:hint="eastAsia"/>
                <w:highlight w:val="none"/>
                <w:lang w:val="en-US" w:eastAsia="zh-CN"/>
              </w:rPr>
              <w:t>1h</w:t>
            </w:r>
            <w:r>
              <w:rPr>
                <w:rFonts w:hint="eastAsia"/>
                <w:highlight w:val="none"/>
              </w:rPr>
              <w:t>无积水；</w:t>
            </w:r>
          </w:p>
          <w:p w14:paraId="2B8F0C9C">
            <w:pPr>
              <w:pStyle w:val="26"/>
              <w:spacing w:line="330" w:lineRule="exact"/>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rPr>
              <w:t xml:space="preserve">植株无失水萎 </w:t>
            </w:r>
            <w:r>
              <w:rPr>
                <w:rFonts w:hint="eastAsia"/>
                <w:highlight w:val="none"/>
                <w:lang w:val="en-US" w:eastAsia="zh-CN"/>
              </w:rPr>
              <w:t>蔫</w:t>
            </w:r>
            <w:r>
              <w:rPr>
                <w:rFonts w:hint="eastAsia"/>
                <w:highlight w:val="none"/>
              </w:rPr>
              <w:t>现象</w:t>
            </w:r>
          </w:p>
        </w:tc>
        <w:tc>
          <w:tcPr>
            <w:tcW w:w="2141" w:type="dxa"/>
            <w:tcBorders>
              <w:top w:val="single" w:color="auto" w:sz="4" w:space="0"/>
              <w:left w:val="single" w:color="auto" w:sz="4" w:space="0"/>
            </w:tcBorders>
            <w:shd w:val="clear" w:color="auto" w:fill="FFFFFF"/>
            <w:noWrap w:val="0"/>
            <w:vAlign w:val="bottom"/>
          </w:tcPr>
          <w:p w14:paraId="1A9B608D">
            <w:pPr>
              <w:pStyle w:val="26"/>
              <w:spacing w:line="310" w:lineRule="exact"/>
              <w:rPr>
                <w:rFonts w:hint="eastAsia"/>
                <w:highlight w:val="none"/>
              </w:rPr>
            </w:pPr>
            <w:r>
              <w:rPr>
                <w:rFonts w:hint="eastAsia"/>
                <w:highlight w:val="none"/>
                <w:lang w:eastAsia="zh-CN"/>
              </w:rPr>
              <w:t>（</w:t>
            </w:r>
            <w:r>
              <w:rPr>
                <w:rFonts w:hint="eastAsia"/>
                <w:highlight w:val="none"/>
              </w:rPr>
              <w:t>1）木本地被</w:t>
            </w:r>
            <w:r>
              <w:rPr>
                <w:rFonts w:hint="eastAsia"/>
                <w:highlight w:val="none"/>
                <w:lang w:val="en-US" w:eastAsia="zh-CN"/>
              </w:rPr>
              <w:t>暴</w:t>
            </w:r>
            <w:r>
              <w:rPr>
                <w:rFonts w:hint="eastAsia"/>
                <w:highlight w:val="none"/>
              </w:rPr>
              <w:t xml:space="preserve">雨 </w:t>
            </w:r>
            <w:r>
              <w:rPr>
                <w:rFonts w:hint="eastAsia"/>
                <w:highlight w:val="none"/>
                <w:lang w:val="en-US" w:eastAsia="zh-CN"/>
              </w:rPr>
              <w:t>后</w:t>
            </w:r>
            <w:r>
              <w:rPr>
                <w:rFonts w:hint="eastAsia"/>
                <w:highlight w:val="none"/>
                <w:lang w:val="en-US" w:eastAsia="zh-CN" w:bidi="en-US"/>
              </w:rPr>
              <w:t>o.5d</w:t>
            </w:r>
            <w:r>
              <w:rPr>
                <w:rFonts w:hint="eastAsia"/>
                <w:highlight w:val="none"/>
              </w:rPr>
              <w:t>内无</w:t>
            </w:r>
            <w:r>
              <w:rPr>
                <w:rFonts w:hint="eastAsia"/>
                <w:highlight w:val="none"/>
                <w:lang w:val="en-US" w:eastAsia="zh-CN"/>
              </w:rPr>
              <w:t>积水；</w:t>
            </w:r>
            <w:r>
              <w:rPr>
                <w:rFonts w:hint="eastAsia"/>
                <w:highlight w:val="none"/>
              </w:rPr>
              <w:t xml:space="preserve"> 草本地被雨后</w:t>
            </w:r>
            <w:r>
              <w:rPr>
                <w:rFonts w:hint="eastAsia"/>
                <w:highlight w:val="none"/>
                <w:lang w:val="en-US" w:eastAsia="zh-CN"/>
              </w:rPr>
              <w:t>4h</w:t>
            </w:r>
            <w:r>
              <w:rPr>
                <w:rFonts w:hint="eastAsia"/>
                <w:highlight w:val="none"/>
              </w:rPr>
              <w:t>无积水；</w:t>
            </w:r>
          </w:p>
          <w:p w14:paraId="32E7CB93">
            <w:pPr>
              <w:pStyle w:val="26"/>
              <w:spacing w:line="330" w:lineRule="exact"/>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rPr>
              <w:t>植株</w:t>
            </w:r>
            <w:r>
              <w:rPr>
                <w:rFonts w:hint="eastAsia"/>
                <w:highlight w:val="none"/>
                <w:lang w:val="en-US" w:eastAsia="zh-CN"/>
              </w:rPr>
              <w:t>基本</w:t>
            </w:r>
            <w:r>
              <w:rPr>
                <w:rFonts w:hint="eastAsia"/>
                <w:highlight w:val="none"/>
              </w:rPr>
              <w:t>无失水萎</w:t>
            </w:r>
            <w:r>
              <w:rPr>
                <w:rFonts w:hint="eastAsia"/>
                <w:highlight w:val="none"/>
                <w:lang w:val="en-US" w:eastAsia="zh-CN"/>
              </w:rPr>
              <w:t>蔫</w:t>
            </w:r>
            <w:r>
              <w:rPr>
                <w:rFonts w:hint="eastAsia"/>
                <w:highlight w:val="none"/>
              </w:rPr>
              <w:t>现象</w:t>
            </w:r>
          </w:p>
        </w:tc>
        <w:tc>
          <w:tcPr>
            <w:tcW w:w="2366" w:type="dxa"/>
            <w:tcBorders>
              <w:top w:val="single" w:color="auto" w:sz="4" w:space="0"/>
              <w:left w:val="single" w:color="auto" w:sz="4" w:space="0"/>
              <w:right w:val="single" w:color="auto" w:sz="4" w:space="0"/>
            </w:tcBorders>
            <w:shd w:val="clear" w:color="auto" w:fill="FFFFFF"/>
            <w:noWrap w:val="0"/>
            <w:vAlign w:val="center"/>
          </w:tcPr>
          <w:p w14:paraId="1FD3293D">
            <w:pPr>
              <w:pStyle w:val="26"/>
              <w:spacing w:line="310" w:lineRule="exact"/>
              <w:rPr>
                <w:rFonts w:hint="eastAsia"/>
                <w:highlight w:val="none"/>
              </w:rPr>
            </w:pPr>
            <w:r>
              <w:rPr>
                <w:rFonts w:hint="eastAsia"/>
                <w:highlight w:val="none"/>
                <w:lang w:eastAsia="zh-CN"/>
              </w:rPr>
              <w:t>（</w:t>
            </w:r>
            <w:r>
              <w:rPr>
                <w:rFonts w:hint="eastAsia"/>
                <w:highlight w:val="none"/>
              </w:rPr>
              <w:t>1）木本地被</w:t>
            </w:r>
            <w:r>
              <w:rPr>
                <w:rFonts w:hint="eastAsia"/>
                <w:highlight w:val="none"/>
                <w:lang w:val="en-US" w:eastAsia="zh-CN"/>
              </w:rPr>
              <w:t>暴</w:t>
            </w:r>
            <w:r>
              <w:rPr>
                <w:rFonts w:hint="eastAsia"/>
                <w:highlight w:val="none"/>
              </w:rPr>
              <w:t>雨</w:t>
            </w:r>
            <w:r>
              <w:rPr>
                <w:rFonts w:hint="eastAsia"/>
                <w:highlight w:val="none"/>
                <w:lang w:val="en-US" w:eastAsia="zh-CN"/>
              </w:rPr>
              <w:t>后</w:t>
            </w:r>
            <w:r>
              <w:rPr>
                <w:rFonts w:hint="eastAsia"/>
                <w:highlight w:val="none"/>
                <w:lang w:val="en-US" w:eastAsia="zh-CN" w:bidi="en-US"/>
              </w:rPr>
              <w:t>1d</w:t>
            </w:r>
            <w:r>
              <w:rPr>
                <w:rFonts w:hint="eastAsia"/>
                <w:highlight w:val="none"/>
              </w:rPr>
              <w:t>内无</w:t>
            </w:r>
            <w:r>
              <w:rPr>
                <w:rFonts w:hint="eastAsia"/>
                <w:highlight w:val="none"/>
                <w:lang w:val="en-US" w:eastAsia="zh-CN"/>
              </w:rPr>
              <w:t>积水；</w:t>
            </w:r>
            <w:r>
              <w:rPr>
                <w:rFonts w:hint="eastAsia"/>
                <w:highlight w:val="none"/>
              </w:rPr>
              <w:t xml:space="preserve"> 草本地被雨后</w:t>
            </w:r>
            <w:r>
              <w:rPr>
                <w:rFonts w:hint="eastAsia"/>
                <w:highlight w:val="none"/>
                <w:lang w:val="en-US" w:eastAsia="zh-CN"/>
              </w:rPr>
              <w:t>6h</w:t>
            </w:r>
            <w:r>
              <w:rPr>
                <w:rFonts w:hint="eastAsia"/>
                <w:highlight w:val="none"/>
              </w:rPr>
              <w:t>无积水；</w:t>
            </w:r>
          </w:p>
          <w:p w14:paraId="7CEBF599">
            <w:pPr>
              <w:pStyle w:val="26"/>
              <w:spacing w:line="330" w:lineRule="exact"/>
              <w:jc w:val="left"/>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rPr>
              <w:t>植株</w:t>
            </w:r>
            <w:r>
              <w:rPr>
                <w:rFonts w:hint="eastAsia"/>
                <w:highlight w:val="none"/>
                <w:lang w:val="en-US" w:eastAsia="zh-CN"/>
              </w:rPr>
              <w:t>基本</w:t>
            </w:r>
            <w:r>
              <w:rPr>
                <w:rFonts w:hint="eastAsia"/>
                <w:highlight w:val="none"/>
              </w:rPr>
              <w:t>无失水萎</w:t>
            </w:r>
            <w:r>
              <w:rPr>
                <w:rFonts w:hint="eastAsia"/>
                <w:highlight w:val="none"/>
                <w:lang w:val="en-US" w:eastAsia="zh-CN"/>
              </w:rPr>
              <w:t>蔫</w:t>
            </w:r>
            <w:r>
              <w:rPr>
                <w:rFonts w:hint="eastAsia"/>
                <w:highlight w:val="none"/>
              </w:rPr>
              <w:t>现象</w:t>
            </w:r>
          </w:p>
        </w:tc>
      </w:tr>
      <w:tr w14:paraId="66AF52CC">
        <w:tblPrEx>
          <w:tblCellMar>
            <w:top w:w="0" w:type="dxa"/>
            <w:left w:w="10" w:type="dxa"/>
            <w:bottom w:w="0" w:type="dxa"/>
            <w:right w:w="10" w:type="dxa"/>
          </w:tblCellMar>
        </w:tblPrEx>
        <w:trPr>
          <w:trHeight w:val="2372" w:hRule="exact"/>
          <w:jc w:val="center"/>
        </w:trPr>
        <w:tc>
          <w:tcPr>
            <w:tcW w:w="466" w:type="dxa"/>
            <w:tcBorders>
              <w:top w:val="single" w:color="auto" w:sz="4" w:space="0"/>
              <w:left w:val="single" w:color="auto" w:sz="4" w:space="0"/>
            </w:tcBorders>
            <w:shd w:val="clear" w:color="auto" w:fill="FFFFFF"/>
            <w:noWrap w:val="0"/>
            <w:vAlign w:val="center"/>
          </w:tcPr>
          <w:p w14:paraId="420E37B4">
            <w:pPr>
              <w:pStyle w:val="26"/>
              <w:spacing w:line="240" w:lineRule="auto"/>
              <w:ind w:firstLine="200" w:firstLineChars="100"/>
              <w:jc w:val="left"/>
              <w:rPr>
                <w:rFonts w:hint="eastAsia"/>
                <w:highlight w:val="none"/>
              </w:rPr>
            </w:pPr>
            <w:r>
              <w:rPr>
                <w:rFonts w:hint="eastAsia"/>
                <w:highlight w:val="none"/>
              </w:rPr>
              <w:t>4</w:t>
            </w:r>
          </w:p>
        </w:tc>
        <w:tc>
          <w:tcPr>
            <w:tcW w:w="844" w:type="dxa"/>
            <w:tcBorders>
              <w:top w:val="single" w:color="auto" w:sz="4" w:space="0"/>
              <w:left w:val="single" w:color="auto" w:sz="4" w:space="0"/>
            </w:tcBorders>
            <w:shd w:val="clear" w:color="auto" w:fill="FFFFFF"/>
            <w:noWrap w:val="0"/>
            <w:vAlign w:val="center"/>
          </w:tcPr>
          <w:p w14:paraId="0B743279">
            <w:pPr>
              <w:pStyle w:val="26"/>
              <w:spacing w:line="315" w:lineRule="exact"/>
              <w:jc w:val="center"/>
              <w:rPr>
                <w:rFonts w:hint="eastAsia"/>
                <w:highlight w:val="none"/>
              </w:rPr>
            </w:pPr>
            <w:r>
              <w:rPr>
                <w:rFonts w:hint="eastAsia"/>
                <w:highlight w:val="none"/>
              </w:rPr>
              <w:t>約虫害 情况</w:t>
            </w:r>
          </w:p>
        </w:tc>
        <w:tc>
          <w:tcPr>
            <w:tcW w:w="2141" w:type="dxa"/>
            <w:tcBorders>
              <w:top w:val="single" w:color="auto" w:sz="4" w:space="0"/>
              <w:left w:val="single" w:color="auto" w:sz="4" w:space="0"/>
            </w:tcBorders>
            <w:shd w:val="clear" w:color="auto" w:fill="FFFFFF"/>
            <w:noWrap w:val="0"/>
            <w:vAlign w:val="center"/>
          </w:tcPr>
          <w:p w14:paraId="6C052AB2">
            <w:pPr>
              <w:pStyle w:val="26"/>
              <w:spacing w:line="300" w:lineRule="exact"/>
              <w:rPr>
                <w:rFonts w:hint="eastAsia"/>
                <w:highlight w:val="none"/>
                <w:lang w:eastAsia="zh-CN"/>
              </w:rPr>
            </w:pPr>
            <w:r>
              <w:rPr>
                <w:rFonts w:hint="eastAsia"/>
                <w:highlight w:val="none"/>
                <w:lang w:eastAsia="zh-CN"/>
              </w:rPr>
              <w:t>（</w:t>
            </w:r>
            <w:r>
              <w:rPr>
                <w:rFonts w:hint="eastAsia"/>
                <w:highlight w:val="none"/>
              </w:rPr>
              <w:t>1</w:t>
            </w:r>
            <w:r>
              <w:rPr>
                <w:rFonts w:hint="eastAsia"/>
                <w:highlight w:val="none"/>
                <w:lang w:eastAsia="zh-CN"/>
              </w:rPr>
              <w:t>）</w:t>
            </w:r>
            <w:r>
              <w:rPr>
                <w:rFonts w:hint="eastAsia"/>
                <w:highlight w:val="none"/>
              </w:rPr>
              <w:t>基本无有害生 物</w:t>
            </w:r>
            <w:r>
              <w:rPr>
                <w:rFonts w:hint="eastAsia"/>
                <w:highlight w:val="none"/>
                <w:lang w:val="en-US" w:eastAsia="zh-CN"/>
              </w:rPr>
              <w:t>危害状；</w:t>
            </w:r>
          </w:p>
          <w:p w14:paraId="59134292">
            <w:pPr>
              <w:pStyle w:val="26"/>
              <w:spacing w:line="345" w:lineRule="exact"/>
              <w:rPr>
                <w:rFonts w:hint="eastAsia"/>
                <w:highlight w:val="none"/>
                <w:lang w:val="en-US" w:eastAsia="zh-CN"/>
              </w:rPr>
            </w:pPr>
            <w:r>
              <w:rPr>
                <w:rFonts w:hint="eastAsia"/>
                <w:highlight w:val="none"/>
                <w:lang w:eastAsia="zh-CN"/>
              </w:rPr>
              <w:t>（</w:t>
            </w:r>
            <w:r>
              <w:rPr>
                <w:rFonts w:hint="eastAsia"/>
                <w:highlight w:val="none"/>
                <w:lang w:val="en-US" w:eastAsia="zh-CN"/>
              </w:rPr>
              <w:t>2）受害率≤％10；</w:t>
            </w:r>
          </w:p>
          <w:p w14:paraId="5E11D6F7">
            <w:pPr>
              <w:pStyle w:val="26"/>
              <w:spacing w:line="345" w:lineRule="exact"/>
              <w:rPr>
                <w:rFonts w:hint="eastAsia"/>
                <w:highlight w:val="none"/>
              </w:rPr>
            </w:pPr>
            <w:r>
              <w:rPr>
                <w:rFonts w:hint="eastAsia"/>
                <w:highlight w:val="none"/>
              </w:rPr>
              <w:t>（3</w:t>
            </w:r>
            <w:r>
              <w:rPr>
                <w:rFonts w:hint="eastAsia"/>
                <w:highlight w:val="none"/>
                <w:lang w:eastAsia="zh-CN"/>
              </w:rPr>
              <w:t>）</w:t>
            </w:r>
            <w:r>
              <w:rPr>
                <w:rFonts w:hint="eastAsia"/>
                <w:highlight w:val="none"/>
              </w:rPr>
              <w:t>无影响</w:t>
            </w:r>
            <w:r>
              <w:rPr>
                <w:rFonts w:hint="eastAsia"/>
                <w:highlight w:val="none"/>
                <w:lang w:val="en-US" w:eastAsia="zh-CN"/>
              </w:rPr>
              <w:t>景</w:t>
            </w:r>
            <w:r>
              <w:rPr>
                <w:rFonts w:hint="eastAsia"/>
                <w:highlight w:val="none"/>
              </w:rPr>
              <w:t>观杂 草</w:t>
            </w:r>
          </w:p>
        </w:tc>
        <w:tc>
          <w:tcPr>
            <w:tcW w:w="2141" w:type="dxa"/>
            <w:tcBorders>
              <w:top w:val="single" w:color="auto" w:sz="4" w:space="0"/>
              <w:left w:val="single" w:color="auto" w:sz="4" w:space="0"/>
            </w:tcBorders>
            <w:shd w:val="clear" w:color="auto" w:fill="FFFFFF"/>
            <w:noWrap w:val="0"/>
            <w:vAlign w:val="center"/>
          </w:tcPr>
          <w:p w14:paraId="33D17C9F">
            <w:pPr>
              <w:pStyle w:val="26"/>
              <w:spacing w:line="300" w:lineRule="exact"/>
              <w:rPr>
                <w:rFonts w:hint="eastAsia"/>
                <w:highlight w:val="none"/>
                <w:lang w:eastAsia="zh-CN"/>
              </w:rPr>
            </w:pPr>
            <w:r>
              <w:rPr>
                <w:rFonts w:hint="eastAsia"/>
                <w:highlight w:val="none"/>
                <w:lang w:eastAsia="zh-CN"/>
              </w:rPr>
              <w:t>（</w:t>
            </w:r>
            <w:r>
              <w:rPr>
                <w:rFonts w:hint="eastAsia"/>
                <w:highlight w:val="none"/>
              </w:rPr>
              <w:t>1</w:t>
            </w:r>
            <w:r>
              <w:rPr>
                <w:rFonts w:hint="eastAsia"/>
                <w:highlight w:val="none"/>
                <w:lang w:eastAsia="zh-CN"/>
              </w:rPr>
              <w:t>）</w:t>
            </w:r>
            <w:r>
              <w:rPr>
                <w:rFonts w:hint="eastAsia"/>
                <w:highlight w:val="none"/>
                <w:lang w:val="en-US" w:eastAsia="zh-CN"/>
              </w:rPr>
              <w:t>无明显</w:t>
            </w:r>
            <w:r>
              <w:rPr>
                <w:rFonts w:hint="eastAsia"/>
                <w:highlight w:val="none"/>
              </w:rPr>
              <w:t>有害生 物</w:t>
            </w:r>
            <w:r>
              <w:rPr>
                <w:rFonts w:hint="eastAsia"/>
                <w:highlight w:val="none"/>
                <w:lang w:val="en-US" w:eastAsia="zh-CN"/>
              </w:rPr>
              <w:t>危害状；</w:t>
            </w:r>
          </w:p>
          <w:p w14:paraId="2A063956">
            <w:pPr>
              <w:pStyle w:val="26"/>
              <w:spacing w:line="345" w:lineRule="exact"/>
              <w:rPr>
                <w:rFonts w:hint="eastAsia"/>
                <w:highlight w:val="none"/>
                <w:lang w:val="en-US" w:eastAsia="zh-CN"/>
              </w:rPr>
            </w:pPr>
            <w:r>
              <w:rPr>
                <w:rFonts w:hint="eastAsia"/>
                <w:highlight w:val="none"/>
                <w:lang w:eastAsia="zh-CN"/>
              </w:rPr>
              <w:t>（</w:t>
            </w:r>
            <w:r>
              <w:rPr>
                <w:rFonts w:hint="eastAsia"/>
                <w:highlight w:val="none"/>
                <w:lang w:val="en-US" w:eastAsia="zh-CN"/>
              </w:rPr>
              <w:t>2）受害率≤％15；</w:t>
            </w:r>
          </w:p>
          <w:p w14:paraId="55A87B94">
            <w:pPr>
              <w:pStyle w:val="26"/>
              <w:spacing w:line="315" w:lineRule="exact"/>
              <w:rPr>
                <w:rFonts w:hint="eastAsia"/>
                <w:highlight w:val="none"/>
              </w:rPr>
            </w:pPr>
            <w:r>
              <w:rPr>
                <w:rFonts w:hint="eastAsia"/>
                <w:highlight w:val="none"/>
              </w:rPr>
              <w:t>（3</w:t>
            </w:r>
            <w:r>
              <w:rPr>
                <w:rFonts w:hint="eastAsia"/>
                <w:highlight w:val="none"/>
                <w:lang w:eastAsia="zh-CN"/>
              </w:rPr>
              <w:t>）</w:t>
            </w:r>
            <w:r>
              <w:rPr>
                <w:rFonts w:hint="eastAsia"/>
                <w:highlight w:val="none"/>
                <w:lang w:val="en-US" w:eastAsia="zh-CN"/>
              </w:rPr>
              <w:t>基本</w:t>
            </w:r>
            <w:r>
              <w:rPr>
                <w:rFonts w:hint="eastAsia"/>
                <w:highlight w:val="none"/>
              </w:rPr>
              <w:t>无影响</w:t>
            </w:r>
            <w:r>
              <w:rPr>
                <w:rFonts w:hint="eastAsia"/>
                <w:highlight w:val="none"/>
                <w:lang w:val="en-US" w:eastAsia="zh-CN"/>
              </w:rPr>
              <w:t>景</w:t>
            </w:r>
            <w:r>
              <w:rPr>
                <w:rFonts w:hint="eastAsia"/>
                <w:highlight w:val="none"/>
              </w:rPr>
              <w:t>观杂草</w:t>
            </w:r>
          </w:p>
        </w:tc>
        <w:tc>
          <w:tcPr>
            <w:tcW w:w="2366" w:type="dxa"/>
            <w:tcBorders>
              <w:top w:val="single" w:color="auto" w:sz="4" w:space="0"/>
              <w:left w:val="single" w:color="auto" w:sz="4" w:space="0"/>
              <w:right w:val="single" w:color="auto" w:sz="4" w:space="0"/>
            </w:tcBorders>
            <w:shd w:val="clear" w:color="auto" w:fill="FFFFFF"/>
            <w:noWrap w:val="0"/>
            <w:vAlign w:val="center"/>
          </w:tcPr>
          <w:p w14:paraId="169D2DCD">
            <w:pPr>
              <w:pStyle w:val="26"/>
              <w:spacing w:line="300" w:lineRule="exact"/>
              <w:rPr>
                <w:rFonts w:hint="eastAsia"/>
                <w:highlight w:val="none"/>
                <w:lang w:eastAsia="zh-CN"/>
              </w:rPr>
            </w:pPr>
            <w:r>
              <w:rPr>
                <w:rFonts w:hint="eastAsia"/>
                <w:highlight w:val="none"/>
                <w:lang w:eastAsia="zh-CN"/>
              </w:rPr>
              <w:t>（</w:t>
            </w:r>
            <w:r>
              <w:rPr>
                <w:rFonts w:hint="eastAsia"/>
                <w:highlight w:val="none"/>
              </w:rPr>
              <w:t>1</w:t>
            </w:r>
            <w:r>
              <w:rPr>
                <w:rFonts w:hint="eastAsia"/>
                <w:highlight w:val="none"/>
                <w:lang w:eastAsia="zh-CN"/>
              </w:rPr>
              <w:t>）</w:t>
            </w:r>
            <w:r>
              <w:rPr>
                <w:rFonts w:hint="eastAsia"/>
                <w:highlight w:val="none"/>
                <w:lang w:val="en-US" w:eastAsia="zh-CN"/>
              </w:rPr>
              <w:t>无严重</w:t>
            </w:r>
            <w:r>
              <w:rPr>
                <w:rFonts w:hint="eastAsia"/>
                <w:highlight w:val="none"/>
              </w:rPr>
              <w:t>有害生物</w:t>
            </w:r>
            <w:r>
              <w:rPr>
                <w:rFonts w:hint="eastAsia"/>
                <w:highlight w:val="none"/>
                <w:lang w:val="en-US" w:eastAsia="zh-CN"/>
              </w:rPr>
              <w:t>危害状；</w:t>
            </w:r>
          </w:p>
          <w:p w14:paraId="75A05037">
            <w:pPr>
              <w:pStyle w:val="26"/>
              <w:spacing w:line="345" w:lineRule="exact"/>
              <w:rPr>
                <w:rFonts w:hint="eastAsia"/>
                <w:highlight w:val="none"/>
                <w:lang w:val="en-US" w:eastAsia="zh-CN"/>
              </w:rPr>
            </w:pPr>
            <w:r>
              <w:rPr>
                <w:rFonts w:hint="eastAsia"/>
                <w:highlight w:val="none"/>
                <w:lang w:eastAsia="zh-CN"/>
              </w:rPr>
              <w:t>（</w:t>
            </w:r>
            <w:r>
              <w:rPr>
                <w:rFonts w:hint="eastAsia"/>
                <w:highlight w:val="none"/>
                <w:lang w:val="en-US" w:eastAsia="zh-CN"/>
              </w:rPr>
              <w:t>2）受害率≤％20.；</w:t>
            </w:r>
          </w:p>
          <w:p w14:paraId="0A89CC43">
            <w:pPr>
              <w:pStyle w:val="26"/>
              <w:tabs>
                <w:tab w:val="left" w:pos="585"/>
              </w:tabs>
              <w:spacing w:line="315" w:lineRule="exact"/>
              <w:jc w:val="left"/>
              <w:rPr>
                <w:rFonts w:hint="eastAsia"/>
                <w:highlight w:val="none"/>
              </w:rPr>
            </w:pPr>
            <w:r>
              <w:rPr>
                <w:rFonts w:hint="eastAsia"/>
                <w:highlight w:val="none"/>
              </w:rPr>
              <w:t>（3</w:t>
            </w:r>
            <w:r>
              <w:rPr>
                <w:rFonts w:hint="eastAsia"/>
                <w:highlight w:val="none"/>
                <w:lang w:eastAsia="zh-CN"/>
              </w:rPr>
              <w:t>）</w:t>
            </w:r>
            <w:r>
              <w:rPr>
                <w:rFonts w:hint="eastAsia"/>
                <w:highlight w:val="none"/>
              </w:rPr>
              <w:t>无</w:t>
            </w:r>
            <w:r>
              <w:rPr>
                <w:rFonts w:hint="eastAsia"/>
                <w:highlight w:val="none"/>
                <w:lang w:val="en-US" w:eastAsia="zh-CN"/>
              </w:rPr>
              <w:t>明显</w:t>
            </w:r>
            <w:r>
              <w:rPr>
                <w:rFonts w:hint="eastAsia"/>
                <w:highlight w:val="none"/>
              </w:rPr>
              <w:t>影响</w:t>
            </w:r>
            <w:r>
              <w:rPr>
                <w:rFonts w:hint="eastAsia"/>
                <w:highlight w:val="none"/>
                <w:lang w:val="en-US" w:eastAsia="zh-CN"/>
              </w:rPr>
              <w:t>景</w:t>
            </w:r>
            <w:r>
              <w:rPr>
                <w:rFonts w:hint="eastAsia"/>
                <w:highlight w:val="none"/>
              </w:rPr>
              <w:t>观杂 草</w:t>
            </w:r>
          </w:p>
        </w:tc>
      </w:tr>
      <w:tr w14:paraId="2D150528">
        <w:tblPrEx>
          <w:tblCellMar>
            <w:top w:w="0" w:type="dxa"/>
            <w:left w:w="10" w:type="dxa"/>
            <w:bottom w:w="0" w:type="dxa"/>
            <w:right w:w="10" w:type="dxa"/>
          </w:tblCellMar>
        </w:tblPrEx>
        <w:trPr>
          <w:trHeight w:val="449" w:hRule="exact"/>
          <w:jc w:val="center"/>
        </w:trPr>
        <w:tc>
          <w:tcPr>
            <w:tcW w:w="466" w:type="dxa"/>
            <w:tcBorders>
              <w:top w:val="single" w:color="auto" w:sz="4" w:space="0"/>
              <w:left w:val="single" w:color="auto" w:sz="4" w:space="0"/>
            </w:tcBorders>
            <w:shd w:val="clear" w:color="auto" w:fill="FFFFFF"/>
            <w:noWrap w:val="0"/>
            <w:vAlign w:val="center"/>
          </w:tcPr>
          <w:p w14:paraId="3F61ADB1">
            <w:pPr>
              <w:pStyle w:val="26"/>
              <w:spacing w:line="240" w:lineRule="auto"/>
              <w:ind w:firstLine="200" w:firstLineChars="100"/>
              <w:jc w:val="left"/>
              <w:rPr>
                <w:rFonts w:hint="eastAsia"/>
                <w:highlight w:val="none"/>
                <w:lang w:eastAsia="zh-CN"/>
              </w:rPr>
            </w:pPr>
            <w:r>
              <w:rPr>
                <w:rFonts w:hint="eastAsia"/>
                <w:highlight w:val="none"/>
                <w:lang w:val="en-US" w:eastAsia="zh-CN"/>
              </w:rPr>
              <w:t>5</w:t>
            </w:r>
          </w:p>
        </w:tc>
        <w:tc>
          <w:tcPr>
            <w:tcW w:w="844" w:type="dxa"/>
            <w:tcBorders>
              <w:top w:val="single" w:color="auto" w:sz="4" w:space="0"/>
              <w:left w:val="single" w:color="auto" w:sz="4" w:space="0"/>
            </w:tcBorders>
            <w:shd w:val="clear" w:color="auto" w:fill="FFFFFF"/>
            <w:noWrap w:val="0"/>
            <w:vAlign w:val="center"/>
          </w:tcPr>
          <w:p w14:paraId="3BDBF55E">
            <w:pPr>
              <w:pStyle w:val="26"/>
              <w:spacing w:line="240" w:lineRule="auto"/>
              <w:jc w:val="left"/>
              <w:rPr>
                <w:rFonts w:hint="eastAsia"/>
                <w:highlight w:val="none"/>
              </w:rPr>
            </w:pPr>
            <w:r>
              <w:rPr>
                <w:rFonts w:hint="eastAsia"/>
                <w:highlight w:val="none"/>
                <w:lang w:val="en-US" w:eastAsia="en-US" w:bidi="en-US"/>
              </w:rPr>
              <w:t>S</w:t>
            </w:r>
            <w:r>
              <w:rPr>
                <w:rFonts w:hint="eastAsia"/>
                <w:highlight w:val="none"/>
              </w:rPr>
              <w:t>（盖率</w:t>
            </w:r>
          </w:p>
        </w:tc>
        <w:tc>
          <w:tcPr>
            <w:tcW w:w="2141" w:type="dxa"/>
            <w:tcBorders>
              <w:top w:val="single" w:color="auto" w:sz="4" w:space="0"/>
              <w:left w:val="single" w:color="auto" w:sz="4" w:space="0"/>
            </w:tcBorders>
            <w:shd w:val="clear" w:color="auto" w:fill="FFFFFF"/>
            <w:noWrap w:val="0"/>
            <w:vAlign w:val="center"/>
          </w:tcPr>
          <w:p w14:paraId="7799D9F8">
            <w:pPr>
              <w:pStyle w:val="26"/>
              <w:spacing w:line="240" w:lineRule="auto"/>
              <w:jc w:val="center"/>
              <w:rPr>
                <w:rFonts w:hint="eastAsia"/>
                <w:highlight w:val="none"/>
              </w:rPr>
            </w:pPr>
            <w:r>
              <w:rPr>
                <w:rFonts w:hint="eastAsia"/>
                <w:highlight w:val="none"/>
                <w:lang w:val="en-US" w:eastAsia="zh-CN"/>
              </w:rPr>
              <w:t>≥</w:t>
            </w:r>
            <w:r>
              <w:rPr>
                <w:rFonts w:hint="eastAsia"/>
                <w:highlight w:val="none"/>
              </w:rPr>
              <w:t>95%</w:t>
            </w:r>
          </w:p>
        </w:tc>
        <w:tc>
          <w:tcPr>
            <w:tcW w:w="2141" w:type="dxa"/>
            <w:tcBorders>
              <w:top w:val="single" w:color="auto" w:sz="4" w:space="0"/>
              <w:left w:val="single" w:color="auto" w:sz="4" w:space="0"/>
            </w:tcBorders>
            <w:shd w:val="clear" w:color="auto" w:fill="FFFFFF"/>
            <w:noWrap w:val="0"/>
            <w:vAlign w:val="center"/>
          </w:tcPr>
          <w:p w14:paraId="34A9F616">
            <w:pPr>
              <w:pStyle w:val="26"/>
              <w:spacing w:line="240" w:lineRule="auto"/>
              <w:jc w:val="center"/>
              <w:rPr>
                <w:rFonts w:hint="eastAsia"/>
                <w:highlight w:val="none"/>
              </w:rPr>
            </w:pPr>
            <w:r>
              <w:rPr>
                <w:rFonts w:hint="eastAsia"/>
                <w:highlight w:val="none"/>
                <w:lang w:val="en-US" w:eastAsia="zh-CN"/>
              </w:rPr>
              <w:t>≥</w:t>
            </w:r>
            <w:r>
              <w:rPr>
                <w:rFonts w:hint="eastAsia"/>
                <w:highlight w:val="none"/>
              </w:rPr>
              <w:t>90%</w:t>
            </w:r>
          </w:p>
        </w:tc>
        <w:tc>
          <w:tcPr>
            <w:tcW w:w="2366" w:type="dxa"/>
            <w:tcBorders>
              <w:top w:val="single" w:color="auto" w:sz="4" w:space="0"/>
              <w:left w:val="single" w:color="auto" w:sz="4" w:space="0"/>
              <w:right w:val="single" w:color="auto" w:sz="4" w:space="0"/>
            </w:tcBorders>
            <w:shd w:val="clear" w:color="auto" w:fill="FFFFFF"/>
            <w:noWrap w:val="0"/>
            <w:vAlign w:val="center"/>
          </w:tcPr>
          <w:p w14:paraId="5792DDC1">
            <w:pPr>
              <w:pStyle w:val="26"/>
              <w:spacing w:line="240" w:lineRule="auto"/>
              <w:jc w:val="center"/>
              <w:rPr>
                <w:rFonts w:hint="eastAsia"/>
                <w:highlight w:val="none"/>
              </w:rPr>
            </w:pPr>
            <w:r>
              <w:rPr>
                <w:rFonts w:hint="eastAsia"/>
                <w:highlight w:val="none"/>
                <w:lang w:val="en-US" w:eastAsia="zh-CN"/>
              </w:rPr>
              <w:t>≥</w:t>
            </w:r>
            <w:r>
              <w:rPr>
                <w:rFonts w:hint="eastAsia"/>
                <w:highlight w:val="none"/>
              </w:rPr>
              <w:t>85%</w:t>
            </w:r>
          </w:p>
        </w:tc>
      </w:tr>
      <w:tr w14:paraId="0139C919">
        <w:tblPrEx>
          <w:tblCellMar>
            <w:top w:w="0" w:type="dxa"/>
            <w:left w:w="10" w:type="dxa"/>
            <w:bottom w:w="0" w:type="dxa"/>
            <w:right w:w="10" w:type="dxa"/>
          </w:tblCellMar>
        </w:tblPrEx>
        <w:trPr>
          <w:trHeight w:val="887" w:hRule="exact"/>
          <w:jc w:val="center"/>
        </w:trPr>
        <w:tc>
          <w:tcPr>
            <w:tcW w:w="466" w:type="dxa"/>
            <w:tcBorders>
              <w:top w:val="single" w:color="auto" w:sz="4" w:space="0"/>
              <w:left w:val="single" w:color="auto" w:sz="4" w:space="0"/>
              <w:bottom w:val="single" w:color="auto" w:sz="4" w:space="0"/>
            </w:tcBorders>
            <w:shd w:val="clear" w:color="auto" w:fill="FFFFFF"/>
            <w:noWrap w:val="0"/>
            <w:vAlign w:val="center"/>
          </w:tcPr>
          <w:p w14:paraId="5DBDB726">
            <w:pPr>
              <w:pStyle w:val="26"/>
              <w:spacing w:line="240" w:lineRule="auto"/>
              <w:ind w:firstLine="200" w:firstLineChars="100"/>
              <w:jc w:val="left"/>
              <w:rPr>
                <w:rFonts w:hint="eastAsia"/>
                <w:highlight w:val="none"/>
              </w:rPr>
            </w:pPr>
            <w:r>
              <w:rPr>
                <w:rFonts w:hint="eastAsia"/>
                <w:highlight w:val="none"/>
              </w:rPr>
              <w:t>6</w:t>
            </w:r>
          </w:p>
        </w:tc>
        <w:tc>
          <w:tcPr>
            <w:tcW w:w="844" w:type="dxa"/>
            <w:tcBorders>
              <w:top w:val="single" w:color="auto" w:sz="4" w:space="0"/>
              <w:left w:val="single" w:color="auto" w:sz="4" w:space="0"/>
              <w:bottom w:val="single" w:color="auto" w:sz="4" w:space="0"/>
            </w:tcBorders>
            <w:shd w:val="clear" w:color="auto" w:fill="FFFFFF"/>
            <w:noWrap w:val="0"/>
            <w:vAlign w:val="center"/>
          </w:tcPr>
          <w:p w14:paraId="648144C6">
            <w:pPr>
              <w:pStyle w:val="26"/>
              <w:spacing w:line="315" w:lineRule="exact"/>
              <w:jc w:val="center"/>
              <w:rPr>
                <w:rFonts w:hint="eastAsia"/>
                <w:highlight w:val="none"/>
              </w:rPr>
            </w:pPr>
            <w:r>
              <w:rPr>
                <w:rFonts w:hint="eastAsia"/>
                <w:highlight w:val="none"/>
              </w:rPr>
              <w:t>补植完成 时间</w:t>
            </w:r>
          </w:p>
        </w:tc>
        <w:tc>
          <w:tcPr>
            <w:tcW w:w="2141" w:type="dxa"/>
            <w:tcBorders>
              <w:top w:val="single" w:color="auto" w:sz="4" w:space="0"/>
              <w:left w:val="single" w:color="auto" w:sz="4" w:space="0"/>
              <w:bottom w:val="single" w:color="auto" w:sz="4" w:space="0"/>
            </w:tcBorders>
            <w:shd w:val="clear" w:color="auto" w:fill="FFFFFF"/>
            <w:noWrap w:val="0"/>
            <w:vAlign w:val="center"/>
          </w:tcPr>
          <w:p w14:paraId="04149F9E">
            <w:pPr>
              <w:pStyle w:val="26"/>
              <w:spacing w:line="240" w:lineRule="auto"/>
              <w:jc w:val="center"/>
              <w:rPr>
                <w:rFonts w:hint="eastAsia"/>
                <w:highlight w:val="none"/>
              </w:rPr>
            </w:pPr>
            <w:r>
              <w:rPr>
                <w:rFonts w:hint="eastAsia"/>
                <w:highlight w:val="none"/>
                <w:lang w:val="en-US" w:eastAsia="zh-CN"/>
              </w:rPr>
              <w:t>≤</w:t>
            </w:r>
            <w:r>
              <w:rPr>
                <w:rFonts w:hint="eastAsia"/>
                <w:highlight w:val="none"/>
                <w:lang w:val="en-US" w:eastAsia="en-US" w:bidi="en-US"/>
              </w:rPr>
              <w:t>3d</w:t>
            </w:r>
          </w:p>
        </w:tc>
        <w:tc>
          <w:tcPr>
            <w:tcW w:w="2141" w:type="dxa"/>
            <w:tcBorders>
              <w:top w:val="single" w:color="auto" w:sz="4" w:space="0"/>
              <w:left w:val="single" w:color="auto" w:sz="4" w:space="0"/>
              <w:bottom w:val="single" w:color="auto" w:sz="4" w:space="0"/>
            </w:tcBorders>
            <w:shd w:val="clear" w:color="auto" w:fill="FFFFFF"/>
            <w:noWrap w:val="0"/>
            <w:vAlign w:val="top"/>
          </w:tcPr>
          <w:p w14:paraId="0B1A875F">
            <w:pPr>
              <w:rPr>
                <w:rFonts w:hint="eastAsia" w:ascii="宋体" w:hAnsi="宋体" w:cs="宋体"/>
                <w:sz w:val="11"/>
                <w:szCs w:val="11"/>
                <w:highlight w:val="none"/>
              </w:rPr>
            </w:pPr>
            <w:r>
              <w:rPr>
                <w:rFonts w:hint="eastAsia" w:ascii="宋体" w:hAnsi="宋体" w:cs="宋体"/>
                <w:sz w:val="11"/>
                <w:szCs w:val="11"/>
                <w:highlight w:val="none"/>
              </w:rPr>
              <w:t xml:space="preserve"> </w:t>
            </w:r>
          </w:p>
          <w:p w14:paraId="548F96A8">
            <w:pPr>
              <w:rPr>
                <w:rFonts w:hint="eastAsia" w:ascii="宋体" w:hAnsi="宋体" w:cs="宋体"/>
                <w:sz w:val="11"/>
                <w:szCs w:val="11"/>
                <w:highlight w:val="none"/>
              </w:rPr>
            </w:pPr>
            <w:r>
              <w:rPr>
                <w:rFonts w:hint="eastAsia" w:ascii="宋体" w:hAnsi="宋体" w:cs="宋体"/>
                <w:sz w:val="11"/>
                <w:szCs w:val="11"/>
                <w:highlight w:val="none"/>
              </w:rPr>
              <w:t xml:space="preserve"> </w:t>
            </w:r>
          </w:p>
          <w:p w14:paraId="446CF2C1">
            <w:pPr>
              <w:ind w:firstLine="800" w:firstLineChars="400"/>
              <w:rPr>
                <w:rFonts w:hint="eastAsia" w:ascii="宋体" w:hAnsi="宋体" w:cs="宋体"/>
                <w:sz w:val="11"/>
                <w:szCs w:val="11"/>
                <w:highlight w:val="none"/>
              </w:rPr>
            </w:pPr>
            <w:r>
              <w:rPr>
                <w:rFonts w:hint="eastAsia" w:ascii="宋体" w:hAnsi="宋体" w:cs="宋体"/>
                <w:sz w:val="20"/>
                <w:szCs w:val="20"/>
                <w:highlight w:val="none"/>
              </w:rPr>
              <w:t>≤7d</w:t>
            </w:r>
          </w:p>
        </w:tc>
        <w:tc>
          <w:tcPr>
            <w:tcW w:w="236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FED8E0">
            <w:pPr>
              <w:pStyle w:val="26"/>
              <w:spacing w:line="240" w:lineRule="auto"/>
              <w:jc w:val="center"/>
              <w:rPr>
                <w:rFonts w:hint="eastAsia"/>
                <w:highlight w:val="none"/>
              </w:rPr>
            </w:pPr>
            <w:r>
              <w:rPr>
                <w:rFonts w:hint="eastAsia"/>
                <w:highlight w:val="none"/>
                <w:lang w:val="en-US" w:eastAsia="zh-CN"/>
              </w:rPr>
              <w:t>≤</w:t>
            </w:r>
            <w:r>
              <w:rPr>
                <w:rFonts w:hint="eastAsia"/>
                <w:highlight w:val="none"/>
                <w:lang w:val="en-US" w:eastAsia="en-US" w:bidi="en-US"/>
              </w:rPr>
              <w:t>20d</w:t>
            </w:r>
          </w:p>
        </w:tc>
      </w:tr>
    </w:tbl>
    <w:p w14:paraId="75EF8F0C">
      <w:pPr>
        <w:spacing w:line="1" w:lineRule="exact"/>
        <w:rPr>
          <w:rFonts w:hint="eastAsia" w:ascii="宋体" w:hAnsi="宋体" w:cs="宋体"/>
          <w:sz w:val="4"/>
          <w:szCs w:val="4"/>
          <w:highlight w:val="none"/>
        </w:rPr>
      </w:pPr>
      <w:r>
        <w:rPr>
          <w:rFonts w:hint="eastAsia" w:ascii="宋体" w:hAnsi="宋体" w:cs="宋体"/>
          <w:sz w:val="22"/>
          <w:szCs w:val="24"/>
          <w:highlight w:val="none"/>
        </w:rPr>
        <w:br w:type="page"/>
      </w:r>
    </w:p>
    <w:p w14:paraId="7B359105">
      <w:pPr>
        <w:pStyle w:val="27"/>
        <w:keepNext/>
        <w:keepLines/>
        <w:spacing w:before="0" w:after="0"/>
        <w:rPr>
          <w:rFonts w:hint="eastAsia"/>
          <w:sz w:val="36"/>
          <w:szCs w:val="36"/>
          <w:highlight w:val="none"/>
        </w:rPr>
      </w:pPr>
      <w:bookmarkStart w:id="645" w:name="bookmark21"/>
      <w:bookmarkStart w:id="646" w:name="bookmark19"/>
      <w:bookmarkStart w:id="647" w:name="bookmark20"/>
      <w:r>
        <w:rPr>
          <w:rFonts w:hint="eastAsia"/>
          <w:sz w:val="36"/>
          <w:szCs w:val="36"/>
          <w:highlight w:val="none"/>
        </w:rPr>
        <w:t>附录</w:t>
      </w:r>
      <w:r>
        <w:rPr>
          <w:rFonts w:hint="eastAsia"/>
          <w:sz w:val="36"/>
          <w:szCs w:val="36"/>
          <w:highlight w:val="none"/>
          <w:lang w:val="en-US" w:eastAsia="zh-CN"/>
        </w:rPr>
        <w:t xml:space="preserve">E </w:t>
      </w:r>
      <w:r>
        <w:rPr>
          <w:rFonts w:hint="eastAsia"/>
          <w:sz w:val="36"/>
          <w:szCs w:val="36"/>
          <w:highlight w:val="none"/>
        </w:rPr>
        <w:t>水生植物养护质量等级</w:t>
      </w:r>
      <w:bookmarkEnd w:id="645"/>
      <w:bookmarkEnd w:id="646"/>
      <w:bookmarkEnd w:id="647"/>
    </w:p>
    <w:tbl>
      <w:tblPr>
        <w:tblStyle w:val="14"/>
        <w:tblW w:w="7639" w:type="dxa"/>
        <w:jc w:val="center"/>
        <w:tblLayout w:type="fixed"/>
        <w:tblCellMar>
          <w:top w:w="0" w:type="dxa"/>
          <w:left w:w="10" w:type="dxa"/>
          <w:bottom w:w="0" w:type="dxa"/>
          <w:right w:w="10" w:type="dxa"/>
        </w:tblCellMar>
      </w:tblPr>
      <w:tblGrid>
        <w:gridCol w:w="482"/>
        <w:gridCol w:w="737"/>
        <w:gridCol w:w="2231"/>
        <w:gridCol w:w="1941"/>
        <w:gridCol w:w="2248"/>
      </w:tblGrid>
      <w:tr w14:paraId="3A9BFF45">
        <w:tblPrEx>
          <w:tblCellMar>
            <w:top w:w="0" w:type="dxa"/>
            <w:left w:w="10" w:type="dxa"/>
            <w:bottom w:w="0" w:type="dxa"/>
            <w:right w:w="10" w:type="dxa"/>
          </w:tblCellMar>
        </w:tblPrEx>
        <w:trPr>
          <w:trHeight w:val="460" w:hRule="exact"/>
          <w:jc w:val="center"/>
        </w:trPr>
        <w:tc>
          <w:tcPr>
            <w:tcW w:w="482" w:type="dxa"/>
            <w:vMerge w:val="restart"/>
            <w:tcBorders>
              <w:top w:val="single" w:color="auto" w:sz="4" w:space="0"/>
              <w:left w:val="single" w:color="auto" w:sz="4" w:space="0"/>
            </w:tcBorders>
            <w:shd w:val="clear" w:color="auto" w:fill="FFFFFF"/>
            <w:noWrap w:val="0"/>
            <w:vAlign w:val="center"/>
          </w:tcPr>
          <w:p w14:paraId="689C12F5">
            <w:pPr>
              <w:pStyle w:val="26"/>
              <w:spacing w:line="315" w:lineRule="exact"/>
              <w:jc w:val="center"/>
              <w:rPr>
                <w:rFonts w:hint="eastAsia"/>
                <w:highlight w:val="none"/>
              </w:rPr>
            </w:pPr>
            <w:r>
              <w:rPr>
                <w:rFonts w:hint="eastAsia"/>
                <w:highlight w:val="none"/>
              </w:rPr>
              <w:t>序 号</w:t>
            </w:r>
          </w:p>
        </w:tc>
        <w:tc>
          <w:tcPr>
            <w:tcW w:w="737" w:type="dxa"/>
            <w:vMerge w:val="restart"/>
            <w:tcBorders>
              <w:top w:val="single" w:color="auto" w:sz="4" w:space="0"/>
              <w:left w:val="single" w:color="auto" w:sz="4" w:space="0"/>
            </w:tcBorders>
            <w:shd w:val="clear" w:color="auto" w:fill="FFFFFF"/>
            <w:noWrap w:val="0"/>
            <w:vAlign w:val="center"/>
          </w:tcPr>
          <w:p w14:paraId="717A72DA">
            <w:pPr>
              <w:pStyle w:val="26"/>
              <w:spacing w:line="240" w:lineRule="auto"/>
              <w:ind w:firstLine="200"/>
              <w:jc w:val="left"/>
              <w:rPr>
                <w:rFonts w:hint="eastAsia"/>
                <w:highlight w:val="none"/>
              </w:rPr>
            </w:pPr>
            <w:r>
              <w:rPr>
                <w:rFonts w:hint="eastAsia"/>
                <w:highlight w:val="none"/>
              </w:rPr>
              <w:t>项目</w:t>
            </w:r>
          </w:p>
        </w:tc>
        <w:tc>
          <w:tcPr>
            <w:tcW w:w="6420" w:type="dxa"/>
            <w:gridSpan w:val="3"/>
            <w:tcBorders>
              <w:top w:val="single" w:color="auto" w:sz="4" w:space="0"/>
              <w:left w:val="single" w:color="auto" w:sz="4" w:space="0"/>
              <w:right w:val="single" w:color="auto" w:sz="4" w:space="0"/>
            </w:tcBorders>
            <w:shd w:val="clear" w:color="auto" w:fill="FFFFFF"/>
            <w:noWrap w:val="0"/>
            <w:vAlign w:val="center"/>
          </w:tcPr>
          <w:p w14:paraId="105E495B">
            <w:pPr>
              <w:pStyle w:val="26"/>
              <w:spacing w:line="240" w:lineRule="auto"/>
              <w:jc w:val="center"/>
              <w:rPr>
                <w:rFonts w:hint="eastAsia"/>
                <w:highlight w:val="none"/>
              </w:rPr>
            </w:pPr>
            <w:r>
              <w:rPr>
                <w:rFonts w:hint="eastAsia"/>
                <w:highlight w:val="none"/>
              </w:rPr>
              <w:t>质</w:t>
            </w:r>
            <w:r>
              <w:rPr>
                <w:rFonts w:hint="eastAsia"/>
                <w:highlight w:val="none"/>
                <w:lang w:val="en-US" w:eastAsia="zh-CN"/>
              </w:rPr>
              <w:t>量</w:t>
            </w:r>
            <w:r>
              <w:rPr>
                <w:rFonts w:hint="eastAsia"/>
                <w:highlight w:val="none"/>
              </w:rPr>
              <w:t>要求</w:t>
            </w:r>
          </w:p>
        </w:tc>
      </w:tr>
      <w:tr w14:paraId="2BECC004">
        <w:tblPrEx>
          <w:tblCellMar>
            <w:top w:w="0" w:type="dxa"/>
            <w:left w:w="10" w:type="dxa"/>
            <w:bottom w:w="0" w:type="dxa"/>
            <w:right w:w="10" w:type="dxa"/>
          </w:tblCellMar>
        </w:tblPrEx>
        <w:trPr>
          <w:trHeight w:val="460" w:hRule="exact"/>
          <w:jc w:val="center"/>
        </w:trPr>
        <w:tc>
          <w:tcPr>
            <w:tcW w:w="482" w:type="dxa"/>
            <w:vMerge w:val="continue"/>
            <w:tcBorders>
              <w:left w:val="single" w:color="auto" w:sz="4" w:space="0"/>
            </w:tcBorders>
            <w:shd w:val="clear" w:color="auto" w:fill="FFFFFF"/>
            <w:noWrap w:val="0"/>
            <w:vAlign w:val="center"/>
          </w:tcPr>
          <w:p w14:paraId="58FDCCAD">
            <w:pPr>
              <w:rPr>
                <w:rFonts w:hint="eastAsia" w:ascii="宋体" w:hAnsi="宋体" w:cs="宋体"/>
                <w:sz w:val="22"/>
                <w:szCs w:val="24"/>
                <w:highlight w:val="none"/>
              </w:rPr>
            </w:pPr>
          </w:p>
        </w:tc>
        <w:tc>
          <w:tcPr>
            <w:tcW w:w="737" w:type="dxa"/>
            <w:vMerge w:val="continue"/>
            <w:tcBorders>
              <w:left w:val="single" w:color="auto" w:sz="4" w:space="0"/>
            </w:tcBorders>
            <w:shd w:val="clear" w:color="auto" w:fill="FFFFFF"/>
            <w:noWrap w:val="0"/>
            <w:vAlign w:val="center"/>
          </w:tcPr>
          <w:p w14:paraId="1D1970B6">
            <w:pPr>
              <w:rPr>
                <w:rFonts w:hint="eastAsia" w:ascii="宋体" w:hAnsi="宋体" w:cs="宋体"/>
                <w:sz w:val="22"/>
                <w:szCs w:val="24"/>
                <w:highlight w:val="none"/>
              </w:rPr>
            </w:pPr>
          </w:p>
        </w:tc>
        <w:tc>
          <w:tcPr>
            <w:tcW w:w="2231" w:type="dxa"/>
            <w:tcBorders>
              <w:top w:val="single" w:color="auto" w:sz="4" w:space="0"/>
              <w:left w:val="single" w:color="auto" w:sz="4" w:space="0"/>
            </w:tcBorders>
            <w:shd w:val="clear" w:color="auto" w:fill="FFFFFF"/>
            <w:noWrap w:val="0"/>
            <w:vAlign w:val="center"/>
          </w:tcPr>
          <w:p w14:paraId="317B72D8">
            <w:pPr>
              <w:pStyle w:val="26"/>
              <w:spacing w:line="240" w:lineRule="auto"/>
              <w:jc w:val="center"/>
              <w:rPr>
                <w:rFonts w:hint="eastAsia"/>
                <w:highlight w:val="none"/>
              </w:rPr>
            </w:pPr>
            <w:r>
              <w:rPr>
                <w:rFonts w:hint="eastAsia"/>
                <w:highlight w:val="none"/>
                <w:lang w:val="en-US" w:eastAsia="zh-CN"/>
              </w:rPr>
              <w:t>一</w:t>
            </w:r>
            <w:r>
              <w:rPr>
                <w:rFonts w:hint="eastAsia"/>
                <w:highlight w:val="none"/>
              </w:rPr>
              <w:t>级</w:t>
            </w:r>
          </w:p>
        </w:tc>
        <w:tc>
          <w:tcPr>
            <w:tcW w:w="1941" w:type="dxa"/>
            <w:tcBorders>
              <w:top w:val="single" w:color="auto" w:sz="4" w:space="0"/>
              <w:left w:val="single" w:color="auto" w:sz="4" w:space="0"/>
            </w:tcBorders>
            <w:shd w:val="clear" w:color="auto" w:fill="FFFFFF"/>
            <w:noWrap w:val="0"/>
            <w:vAlign w:val="center"/>
          </w:tcPr>
          <w:p w14:paraId="15F3B5E4">
            <w:pPr>
              <w:pStyle w:val="26"/>
              <w:spacing w:line="240" w:lineRule="auto"/>
              <w:jc w:val="center"/>
              <w:rPr>
                <w:rFonts w:hint="eastAsia"/>
                <w:highlight w:val="none"/>
                <w:lang w:eastAsia="zh-CN"/>
              </w:rPr>
            </w:pPr>
            <w:r>
              <w:rPr>
                <w:rFonts w:hint="eastAsia"/>
                <w:highlight w:val="none"/>
                <w:lang w:val="en-US" w:eastAsia="zh-CN"/>
              </w:rPr>
              <w:t>二级</w:t>
            </w:r>
          </w:p>
        </w:tc>
        <w:tc>
          <w:tcPr>
            <w:tcW w:w="2248" w:type="dxa"/>
            <w:tcBorders>
              <w:top w:val="single" w:color="auto" w:sz="4" w:space="0"/>
              <w:left w:val="single" w:color="auto" w:sz="4" w:space="0"/>
              <w:right w:val="single" w:color="auto" w:sz="4" w:space="0"/>
            </w:tcBorders>
            <w:shd w:val="clear" w:color="auto" w:fill="FFFFFF"/>
            <w:noWrap w:val="0"/>
            <w:vAlign w:val="center"/>
          </w:tcPr>
          <w:p w14:paraId="5CF0C431">
            <w:pPr>
              <w:pStyle w:val="26"/>
              <w:spacing w:line="240" w:lineRule="auto"/>
              <w:jc w:val="center"/>
              <w:rPr>
                <w:rFonts w:hint="eastAsia"/>
                <w:highlight w:val="none"/>
              </w:rPr>
            </w:pPr>
            <w:r>
              <w:rPr>
                <w:rFonts w:hint="eastAsia"/>
                <w:highlight w:val="none"/>
              </w:rPr>
              <w:t>三级</w:t>
            </w:r>
          </w:p>
        </w:tc>
      </w:tr>
      <w:tr w14:paraId="101221AC">
        <w:tblPrEx>
          <w:tblCellMar>
            <w:top w:w="0" w:type="dxa"/>
            <w:left w:w="10" w:type="dxa"/>
            <w:bottom w:w="0" w:type="dxa"/>
            <w:right w:w="10" w:type="dxa"/>
          </w:tblCellMar>
        </w:tblPrEx>
        <w:trPr>
          <w:trHeight w:val="920" w:hRule="exact"/>
          <w:jc w:val="center"/>
        </w:trPr>
        <w:tc>
          <w:tcPr>
            <w:tcW w:w="482" w:type="dxa"/>
            <w:tcBorders>
              <w:top w:val="single" w:color="auto" w:sz="4" w:space="0"/>
              <w:left w:val="single" w:color="auto" w:sz="4" w:space="0"/>
            </w:tcBorders>
            <w:shd w:val="clear" w:color="auto" w:fill="FFFFFF"/>
            <w:noWrap w:val="0"/>
            <w:vAlign w:val="center"/>
          </w:tcPr>
          <w:p w14:paraId="43B54424">
            <w:pPr>
              <w:pStyle w:val="26"/>
              <w:spacing w:line="240" w:lineRule="auto"/>
              <w:ind w:firstLine="200" w:firstLineChars="100"/>
              <w:jc w:val="left"/>
              <w:rPr>
                <w:rFonts w:hint="eastAsia"/>
                <w:highlight w:val="none"/>
              </w:rPr>
            </w:pPr>
            <w:r>
              <w:rPr>
                <w:rFonts w:hint="eastAsia"/>
                <w:highlight w:val="none"/>
              </w:rPr>
              <w:t>1</w:t>
            </w:r>
          </w:p>
        </w:tc>
        <w:tc>
          <w:tcPr>
            <w:tcW w:w="737" w:type="dxa"/>
            <w:tcBorders>
              <w:top w:val="single" w:color="auto" w:sz="4" w:space="0"/>
              <w:left w:val="single" w:color="auto" w:sz="4" w:space="0"/>
            </w:tcBorders>
            <w:shd w:val="clear" w:color="auto" w:fill="FFFFFF"/>
            <w:noWrap w:val="0"/>
            <w:vAlign w:val="center"/>
          </w:tcPr>
          <w:p w14:paraId="3652510A">
            <w:pPr>
              <w:pStyle w:val="26"/>
              <w:spacing w:line="240" w:lineRule="auto"/>
              <w:jc w:val="center"/>
              <w:rPr>
                <w:rFonts w:hint="eastAsia"/>
                <w:highlight w:val="none"/>
              </w:rPr>
            </w:pPr>
            <w:r>
              <w:rPr>
                <w:rFonts w:hint="eastAsia"/>
                <w:highlight w:val="none"/>
              </w:rPr>
              <w:t>整体效果</w:t>
            </w:r>
          </w:p>
        </w:tc>
        <w:tc>
          <w:tcPr>
            <w:tcW w:w="2231" w:type="dxa"/>
            <w:tcBorders>
              <w:top w:val="single" w:color="auto" w:sz="4" w:space="0"/>
              <w:left w:val="single" w:color="auto" w:sz="4" w:space="0"/>
            </w:tcBorders>
            <w:shd w:val="clear" w:color="auto" w:fill="FFFFFF"/>
            <w:noWrap w:val="0"/>
            <w:vAlign w:val="center"/>
          </w:tcPr>
          <w:p w14:paraId="15D74CA4">
            <w:pPr>
              <w:pStyle w:val="26"/>
              <w:spacing w:line="315" w:lineRule="exact"/>
              <w:ind w:firstLine="220"/>
              <w:rPr>
                <w:rFonts w:hint="eastAsia"/>
                <w:highlight w:val="none"/>
              </w:rPr>
            </w:pPr>
            <w:r>
              <w:rPr>
                <w:rFonts w:hint="eastAsia"/>
                <w:highlight w:val="none"/>
              </w:rPr>
              <w:t>景观效果</w:t>
            </w:r>
            <w:r>
              <w:rPr>
                <w:rFonts w:hint="eastAsia"/>
                <w:highlight w:val="none"/>
                <w:lang w:val="zh-CN" w:eastAsia="zh-CN" w:bidi="zh-CN"/>
              </w:rPr>
              <w:t>美观，</w:t>
            </w:r>
            <w:r>
              <w:rPr>
                <w:rFonts w:hint="eastAsia"/>
                <w:highlight w:val="none"/>
                <w:lang w:val="en-US" w:eastAsia="zh-CN" w:bidi="zh-CN"/>
              </w:rPr>
              <w:t>无</w:t>
            </w:r>
            <w:r>
              <w:rPr>
                <w:rFonts w:hint="eastAsia"/>
                <w:highlight w:val="none"/>
              </w:rPr>
              <w:t xml:space="preserve"> 残花败叶漂浮</w:t>
            </w:r>
          </w:p>
        </w:tc>
        <w:tc>
          <w:tcPr>
            <w:tcW w:w="1941" w:type="dxa"/>
            <w:tcBorders>
              <w:top w:val="single" w:color="auto" w:sz="4" w:space="0"/>
              <w:left w:val="single" w:color="auto" w:sz="4" w:space="0"/>
            </w:tcBorders>
            <w:shd w:val="clear" w:color="auto" w:fill="FFFFFF"/>
            <w:noWrap w:val="0"/>
            <w:vAlign w:val="center"/>
          </w:tcPr>
          <w:p w14:paraId="66C8C755">
            <w:pPr>
              <w:pStyle w:val="26"/>
              <w:spacing w:line="300" w:lineRule="exact"/>
              <w:ind w:firstLine="220"/>
              <w:rPr>
                <w:rFonts w:hint="eastAsia"/>
                <w:highlight w:val="none"/>
              </w:rPr>
            </w:pPr>
            <w:r>
              <w:rPr>
                <w:rFonts w:hint="eastAsia"/>
                <w:highlight w:val="none"/>
              </w:rPr>
              <w:t>景观效果明显</w:t>
            </w:r>
            <w:r>
              <w:rPr>
                <w:rFonts w:hint="eastAsia"/>
                <w:highlight w:val="none"/>
                <w:lang w:val="en-US" w:eastAsia="zh-CN" w:bidi="en-US"/>
              </w:rPr>
              <w:t>，</w:t>
            </w:r>
            <w:r>
              <w:rPr>
                <w:rFonts w:hint="eastAsia"/>
                <w:highlight w:val="none"/>
              </w:rPr>
              <w:t>基本无残花败叶漂浮</w:t>
            </w:r>
          </w:p>
        </w:tc>
        <w:tc>
          <w:tcPr>
            <w:tcW w:w="2248" w:type="dxa"/>
            <w:tcBorders>
              <w:top w:val="single" w:color="auto" w:sz="4" w:space="0"/>
              <w:left w:val="single" w:color="auto" w:sz="4" w:space="0"/>
              <w:right w:val="single" w:color="auto" w:sz="4" w:space="0"/>
            </w:tcBorders>
            <w:shd w:val="clear" w:color="auto" w:fill="FFFFFF"/>
            <w:noWrap w:val="0"/>
            <w:vAlign w:val="center"/>
          </w:tcPr>
          <w:p w14:paraId="0721B946">
            <w:pPr>
              <w:pStyle w:val="26"/>
              <w:spacing w:line="240" w:lineRule="auto"/>
              <w:ind w:firstLine="220"/>
              <w:jc w:val="left"/>
              <w:rPr>
                <w:rFonts w:hint="eastAsia"/>
                <w:highlight w:val="none"/>
              </w:rPr>
            </w:pPr>
            <w:r>
              <w:rPr>
                <w:rFonts w:hint="eastAsia"/>
                <w:highlight w:val="none"/>
              </w:rPr>
              <w:t>景观效果明显</w:t>
            </w:r>
          </w:p>
        </w:tc>
      </w:tr>
      <w:tr w14:paraId="157B63FD">
        <w:tblPrEx>
          <w:tblCellMar>
            <w:top w:w="0" w:type="dxa"/>
            <w:left w:w="10" w:type="dxa"/>
            <w:bottom w:w="0" w:type="dxa"/>
            <w:right w:w="10" w:type="dxa"/>
          </w:tblCellMar>
        </w:tblPrEx>
        <w:trPr>
          <w:trHeight w:val="2744" w:hRule="exact"/>
          <w:jc w:val="center"/>
        </w:trPr>
        <w:tc>
          <w:tcPr>
            <w:tcW w:w="482" w:type="dxa"/>
            <w:tcBorders>
              <w:top w:val="single" w:color="auto" w:sz="4" w:space="0"/>
              <w:left w:val="single" w:color="auto" w:sz="4" w:space="0"/>
            </w:tcBorders>
            <w:shd w:val="clear" w:color="auto" w:fill="FFFFFF"/>
            <w:noWrap w:val="0"/>
            <w:vAlign w:val="center"/>
          </w:tcPr>
          <w:p w14:paraId="343E79EB">
            <w:pPr>
              <w:pStyle w:val="26"/>
              <w:spacing w:line="240" w:lineRule="auto"/>
              <w:ind w:firstLine="200" w:firstLineChars="100"/>
              <w:jc w:val="left"/>
              <w:rPr>
                <w:rFonts w:hint="eastAsia"/>
                <w:highlight w:val="none"/>
              </w:rPr>
            </w:pPr>
            <w:r>
              <w:rPr>
                <w:rFonts w:hint="eastAsia"/>
                <w:highlight w:val="none"/>
              </w:rPr>
              <w:t>2</w:t>
            </w:r>
          </w:p>
        </w:tc>
        <w:tc>
          <w:tcPr>
            <w:tcW w:w="737" w:type="dxa"/>
            <w:tcBorders>
              <w:top w:val="single" w:color="auto" w:sz="4" w:space="0"/>
              <w:left w:val="single" w:color="auto" w:sz="4" w:space="0"/>
            </w:tcBorders>
            <w:shd w:val="clear" w:color="auto" w:fill="FFFFFF"/>
            <w:noWrap w:val="0"/>
            <w:vAlign w:val="center"/>
          </w:tcPr>
          <w:p w14:paraId="48431557">
            <w:pPr>
              <w:pStyle w:val="26"/>
              <w:spacing w:line="240" w:lineRule="auto"/>
              <w:jc w:val="center"/>
              <w:rPr>
                <w:rFonts w:hint="eastAsia"/>
                <w:highlight w:val="none"/>
                <w:lang w:eastAsia="zh-CN"/>
              </w:rPr>
            </w:pPr>
            <w:r>
              <w:rPr>
                <w:rFonts w:hint="eastAsia"/>
                <w:highlight w:val="none"/>
              </w:rPr>
              <w:t>生长</w:t>
            </w:r>
            <w:r>
              <w:rPr>
                <w:rFonts w:hint="eastAsia"/>
                <w:highlight w:val="none"/>
                <w:lang w:val="en-US" w:eastAsia="zh-CN"/>
              </w:rPr>
              <w:t>势</w:t>
            </w:r>
          </w:p>
        </w:tc>
        <w:tc>
          <w:tcPr>
            <w:tcW w:w="2231" w:type="dxa"/>
            <w:tcBorders>
              <w:top w:val="single" w:color="auto" w:sz="4" w:space="0"/>
              <w:left w:val="single" w:color="auto" w:sz="4" w:space="0"/>
            </w:tcBorders>
            <w:shd w:val="clear" w:color="auto" w:fill="FFFFFF"/>
            <w:noWrap w:val="0"/>
            <w:vAlign w:val="center"/>
          </w:tcPr>
          <w:p w14:paraId="359773B6">
            <w:pPr>
              <w:pStyle w:val="26"/>
              <w:spacing w:line="315" w:lineRule="exact"/>
              <w:ind w:firstLine="220"/>
              <w:rPr>
                <w:rFonts w:hint="eastAsia"/>
                <w:highlight w:val="none"/>
              </w:rPr>
            </w:pPr>
            <w:r>
              <w:rPr>
                <w:rFonts w:hint="eastAsia"/>
                <w:highlight w:val="none"/>
                <w:lang w:eastAsia="zh-CN"/>
              </w:rPr>
              <w:t>（</w:t>
            </w:r>
            <w:r>
              <w:rPr>
                <w:rFonts w:hint="eastAsia"/>
                <w:highlight w:val="none"/>
              </w:rPr>
              <w:t>1）植株生</w:t>
            </w:r>
            <w:r>
              <w:rPr>
                <w:rFonts w:hint="eastAsia"/>
                <w:highlight w:val="none"/>
                <w:lang w:val="en-US" w:eastAsia="zh-CN"/>
              </w:rPr>
              <w:t>长</w:t>
            </w:r>
            <w:r>
              <w:rPr>
                <w:rFonts w:hint="eastAsia"/>
                <w:highlight w:val="none"/>
              </w:rPr>
              <w:t>健壮；</w:t>
            </w:r>
          </w:p>
          <w:p w14:paraId="4E4AEE24">
            <w:pPr>
              <w:pStyle w:val="26"/>
              <w:spacing w:after="60" w:line="315" w:lineRule="exact"/>
              <w:ind w:firstLine="220"/>
              <w:rPr>
                <w:rFonts w:hint="eastAsia"/>
                <w:highlight w:val="none"/>
              </w:rPr>
            </w:pPr>
            <w:r>
              <w:rPr>
                <w:rFonts w:hint="eastAsia"/>
                <w:highlight w:val="none"/>
                <w:lang w:eastAsia="zh-CN"/>
              </w:rPr>
              <w:t>（</w:t>
            </w:r>
            <w:r>
              <w:rPr>
                <w:rFonts w:hint="eastAsia"/>
                <w:highlight w:val="none"/>
              </w:rPr>
              <w:t>2）叶色正常；观 花</w:t>
            </w:r>
            <w:r>
              <w:rPr>
                <w:rFonts w:hint="eastAsia"/>
                <w:highlight w:val="none"/>
                <w:lang w:eastAsia="zh-CN"/>
              </w:rPr>
              <w:t>、</w:t>
            </w:r>
            <w:r>
              <w:rPr>
                <w:rFonts w:hint="eastAsia"/>
                <w:highlight w:val="none"/>
              </w:rPr>
              <w:t>观果植株正常开花结果，</w:t>
            </w:r>
          </w:p>
          <w:p w14:paraId="570DB204">
            <w:pPr>
              <w:pStyle w:val="26"/>
              <w:spacing w:line="240" w:lineRule="auto"/>
              <w:ind w:firstLine="220"/>
              <w:rPr>
                <w:rFonts w:hint="eastAsia"/>
                <w:highlight w:val="none"/>
              </w:rPr>
            </w:pPr>
            <w:r>
              <w:rPr>
                <w:rFonts w:hint="eastAsia"/>
                <w:highlight w:val="none"/>
                <w:lang w:eastAsia="zh-CN"/>
              </w:rPr>
              <w:t>（</w:t>
            </w:r>
            <w:r>
              <w:rPr>
                <w:rFonts w:hint="eastAsia"/>
                <w:highlight w:val="none"/>
              </w:rPr>
              <w:t>3）枯死植株</w:t>
            </w:r>
            <w:r>
              <w:rPr>
                <w:rFonts w:hint="eastAsia"/>
                <w:highlight w:val="none"/>
                <w:lang w:val="en-US" w:eastAsia="zh-CN"/>
              </w:rPr>
              <w:t>≤</w:t>
            </w:r>
            <w:r>
              <w:rPr>
                <w:rFonts w:hint="eastAsia"/>
                <w:highlight w:val="none"/>
              </w:rPr>
              <w:t>5%</w:t>
            </w:r>
          </w:p>
        </w:tc>
        <w:tc>
          <w:tcPr>
            <w:tcW w:w="1941" w:type="dxa"/>
            <w:tcBorders>
              <w:top w:val="single" w:color="auto" w:sz="4" w:space="0"/>
              <w:left w:val="single" w:color="auto" w:sz="4" w:space="0"/>
            </w:tcBorders>
            <w:shd w:val="clear" w:color="auto" w:fill="FFFFFF"/>
            <w:noWrap w:val="0"/>
            <w:vAlign w:val="center"/>
          </w:tcPr>
          <w:p w14:paraId="0EA59FA8">
            <w:pPr>
              <w:pStyle w:val="26"/>
              <w:tabs>
                <w:tab w:val="left" w:pos="595"/>
              </w:tabs>
              <w:spacing w:line="315" w:lineRule="exact"/>
              <w:ind w:firstLine="220"/>
              <w:rPr>
                <w:rFonts w:hint="eastAsia"/>
                <w:highlight w:val="none"/>
                <w:lang w:eastAsia="zh-CN"/>
              </w:rPr>
            </w:pPr>
            <w:r>
              <w:rPr>
                <w:rFonts w:hint="eastAsia"/>
                <w:highlight w:val="none"/>
              </w:rPr>
              <w:t>（1）植株生</w:t>
            </w:r>
            <w:r>
              <w:rPr>
                <w:rFonts w:hint="eastAsia"/>
                <w:highlight w:val="none"/>
                <w:lang w:val="en-US" w:eastAsia="zh-CN"/>
              </w:rPr>
              <w:t>长</w:t>
            </w:r>
            <w:r>
              <w:rPr>
                <w:rFonts w:hint="eastAsia"/>
                <w:highlight w:val="none"/>
              </w:rPr>
              <w:t>良好</w:t>
            </w:r>
            <w:r>
              <w:rPr>
                <w:rFonts w:hint="eastAsia"/>
                <w:highlight w:val="none"/>
                <w:lang w:eastAsia="zh-CN"/>
              </w:rPr>
              <w:t>；</w:t>
            </w:r>
          </w:p>
          <w:p w14:paraId="519E9041">
            <w:pPr>
              <w:pStyle w:val="26"/>
              <w:tabs>
                <w:tab w:val="left" w:pos="570"/>
              </w:tabs>
              <w:spacing w:after="40" w:line="315" w:lineRule="exact"/>
              <w:ind w:firstLine="220"/>
              <w:rPr>
                <w:rFonts w:hint="eastAsia"/>
                <w:highlight w:val="none"/>
              </w:rPr>
            </w:pPr>
            <w:r>
              <w:rPr>
                <w:rFonts w:hint="eastAsia"/>
                <w:highlight w:val="none"/>
              </w:rPr>
              <w:t>（2）叶色正常</w:t>
            </w:r>
            <w:r>
              <w:rPr>
                <w:rFonts w:hint="eastAsia"/>
                <w:highlight w:val="none"/>
                <w:lang w:eastAsia="zh-CN"/>
              </w:rPr>
              <w:t>；</w:t>
            </w:r>
            <w:r>
              <w:rPr>
                <w:rFonts w:hint="eastAsia"/>
                <w:highlight w:val="none"/>
              </w:rPr>
              <w:t>观 花、观果植株正常开花結果：</w:t>
            </w:r>
          </w:p>
          <w:p w14:paraId="4F7D3D4E">
            <w:pPr>
              <w:pStyle w:val="26"/>
              <w:spacing w:line="285" w:lineRule="exact"/>
              <w:ind w:firstLine="220"/>
              <w:rPr>
                <w:rFonts w:hint="eastAsia"/>
                <w:highlight w:val="none"/>
              </w:rPr>
            </w:pPr>
            <w:r>
              <w:rPr>
                <w:rFonts w:hint="eastAsia"/>
                <w:highlight w:val="none"/>
                <w:lang w:eastAsia="zh-CN"/>
              </w:rPr>
              <w:t>（</w:t>
            </w:r>
            <w:r>
              <w:rPr>
                <w:rFonts w:hint="eastAsia"/>
                <w:highlight w:val="none"/>
              </w:rPr>
              <w:t>3）</w:t>
            </w:r>
            <w:r>
              <w:rPr>
                <w:rFonts w:hint="eastAsia"/>
                <w:highlight w:val="none"/>
                <w:lang w:val="en-US" w:eastAsia="zh-CN"/>
              </w:rPr>
              <w:t>枯</w:t>
            </w:r>
            <w:r>
              <w:rPr>
                <w:rFonts w:hint="eastAsia"/>
                <w:highlight w:val="none"/>
              </w:rPr>
              <w:t xml:space="preserve">死植株 </w:t>
            </w:r>
            <w:r>
              <w:rPr>
                <w:rFonts w:hint="eastAsia"/>
                <w:highlight w:val="none"/>
                <w:lang w:val="en-US" w:eastAsia="zh-CN"/>
              </w:rPr>
              <w:t>≤</w:t>
            </w:r>
            <w:r>
              <w:rPr>
                <w:rFonts w:hint="eastAsia"/>
                <w:highlight w:val="none"/>
              </w:rPr>
              <w:t>10%</w:t>
            </w:r>
          </w:p>
        </w:tc>
        <w:tc>
          <w:tcPr>
            <w:tcW w:w="2248" w:type="dxa"/>
            <w:tcBorders>
              <w:top w:val="single" w:color="auto" w:sz="4" w:space="0"/>
              <w:left w:val="single" w:color="auto" w:sz="4" w:space="0"/>
              <w:right w:val="single" w:color="auto" w:sz="4" w:space="0"/>
            </w:tcBorders>
            <w:shd w:val="clear" w:color="auto" w:fill="FFFFFF"/>
            <w:noWrap w:val="0"/>
            <w:vAlign w:val="center"/>
          </w:tcPr>
          <w:p w14:paraId="1E9ADECF">
            <w:pPr>
              <w:pStyle w:val="26"/>
              <w:tabs>
                <w:tab w:val="left" w:pos="555"/>
              </w:tabs>
              <w:spacing w:line="315" w:lineRule="exact"/>
              <w:ind w:firstLine="220"/>
              <w:jc w:val="left"/>
              <w:rPr>
                <w:rFonts w:hint="eastAsia"/>
                <w:highlight w:val="none"/>
                <w:lang w:eastAsia="zh-CN"/>
              </w:rPr>
            </w:pPr>
            <w:r>
              <w:rPr>
                <w:rFonts w:hint="eastAsia"/>
                <w:highlight w:val="none"/>
              </w:rPr>
              <w:t>（1）植株生</w:t>
            </w:r>
            <w:r>
              <w:rPr>
                <w:rFonts w:hint="eastAsia"/>
                <w:highlight w:val="none"/>
                <w:lang w:val="en-US" w:eastAsia="zh-CN"/>
              </w:rPr>
              <w:t>长</w:t>
            </w:r>
            <w:r>
              <w:rPr>
                <w:rFonts w:hint="eastAsia"/>
                <w:highlight w:val="none"/>
              </w:rPr>
              <w:t>基本正 常</w:t>
            </w:r>
            <w:r>
              <w:rPr>
                <w:rFonts w:hint="eastAsia"/>
                <w:highlight w:val="none"/>
                <w:lang w:eastAsia="zh-CN"/>
              </w:rPr>
              <w:t>；</w:t>
            </w:r>
          </w:p>
          <w:p w14:paraId="5215F607">
            <w:pPr>
              <w:pStyle w:val="26"/>
              <w:tabs>
                <w:tab w:val="left" w:pos="585"/>
              </w:tabs>
              <w:spacing w:after="60" w:line="315" w:lineRule="exact"/>
              <w:ind w:firstLine="220"/>
              <w:jc w:val="left"/>
              <w:rPr>
                <w:rFonts w:hint="eastAsia"/>
                <w:highlight w:val="none"/>
              </w:rPr>
            </w:pPr>
            <w:r>
              <w:rPr>
                <w:rFonts w:hint="eastAsia"/>
                <w:highlight w:val="none"/>
              </w:rPr>
              <w:t>（2）观花、</w:t>
            </w:r>
            <w:r>
              <w:rPr>
                <w:rFonts w:hint="eastAsia"/>
                <w:highlight w:val="none"/>
                <w:lang w:val="en-US" w:eastAsia="zh-CN"/>
              </w:rPr>
              <w:t>观</w:t>
            </w:r>
            <w:r>
              <w:rPr>
                <w:rFonts w:hint="eastAsia"/>
                <w:highlight w:val="none"/>
              </w:rPr>
              <w:t>果植株正常</w:t>
            </w:r>
            <w:r>
              <w:rPr>
                <w:rFonts w:hint="eastAsia"/>
                <w:highlight w:val="none"/>
                <w:lang w:val="zh-CN" w:eastAsia="zh-CN" w:bidi="zh-CN"/>
              </w:rPr>
              <w:t>开花</w:t>
            </w:r>
            <w:r>
              <w:rPr>
                <w:rFonts w:hint="eastAsia"/>
                <w:highlight w:val="none"/>
              </w:rPr>
              <w:t>结果；</w:t>
            </w:r>
          </w:p>
          <w:p w14:paraId="6F20EB7F">
            <w:pPr>
              <w:pStyle w:val="26"/>
              <w:tabs>
                <w:tab w:val="left" w:pos="580"/>
              </w:tabs>
              <w:spacing w:line="240" w:lineRule="auto"/>
              <w:ind w:firstLine="220"/>
              <w:jc w:val="left"/>
              <w:rPr>
                <w:rFonts w:hint="eastAsia"/>
                <w:highlight w:val="none"/>
              </w:rPr>
            </w:pPr>
            <w:r>
              <w:rPr>
                <w:rFonts w:hint="eastAsia"/>
                <w:highlight w:val="none"/>
              </w:rPr>
              <w:t>（3）</w:t>
            </w:r>
            <w:r>
              <w:rPr>
                <w:rFonts w:hint="eastAsia"/>
                <w:highlight w:val="none"/>
                <w:lang w:val="en-US" w:eastAsia="zh-CN"/>
              </w:rPr>
              <w:t>枯</w:t>
            </w:r>
            <w:r>
              <w:rPr>
                <w:rFonts w:hint="eastAsia"/>
                <w:highlight w:val="none"/>
              </w:rPr>
              <w:t>死植株</w:t>
            </w:r>
            <w:r>
              <w:rPr>
                <w:rFonts w:hint="eastAsia"/>
                <w:highlight w:val="none"/>
                <w:lang w:val="en-US" w:eastAsia="zh-CN"/>
              </w:rPr>
              <w:t>≤</w:t>
            </w:r>
            <w:r>
              <w:rPr>
                <w:rFonts w:hint="eastAsia"/>
                <w:highlight w:val="none"/>
              </w:rPr>
              <w:t>15%</w:t>
            </w:r>
          </w:p>
        </w:tc>
      </w:tr>
      <w:tr w14:paraId="48C2D33A">
        <w:tblPrEx>
          <w:tblCellMar>
            <w:top w:w="0" w:type="dxa"/>
            <w:left w:w="10" w:type="dxa"/>
            <w:bottom w:w="0" w:type="dxa"/>
            <w:right w:w="10" w:type="dxa"/>
          </w:tblCellMar>
        </w:tblPrEx>
        <w:trPr>
          <w:trHeight w:val="920" w:hRule="exact"/>
          <w:jc w:val="center"/>
        </w:trPr>
        <w:tc>
          <w:tcPr>
            <w:tcW w:w="482" w:type="dxa"/>
            <w:tcBorders>
              <w:top w:val="single" w:color="auto" w:sz="4" w:space="0"/>
              <w:left w:val="single" w:color="auto" w:sz="4" w:space="0"/>
            </w:tcBorders>
            <w:shd w:val="clear" w:color="auto" w:fill="FFFFFF"/>
            <w:noWrap w:val="0"/>
            <w:vAlign w:val="center"/>
          </w:tcPr>
          <w:p w14:paraId="06A75BD2">
            <w:pPr>
              <w:pStyle w:val="26"/>
              <w:spacing w:line="240" w:lineRule="auto"/>
              <w:ind w:firstLine="200" w:firstLineChars="100"/>
              <w:jc w:val="left"/>
              <w:rPr>
                <w:rFonts w:hint="eastAsia"/>
                <w:highlight w:val="none"/>
              </w:rPr>
            </w:pPr>
            <w:r>
              <w:rPr>
                <w:rFonts w:hint="eastAsia"/>
                <w:highlight w:val="none"/>
              </w:rPr>
              <w:t>3</w:t>
            </w:r>
          </w:p>
        </w:tc>
        <w:tc>
          <w:tcPr>
            <w:tcW w:w="737" w:type="dxa"/>
            <w:tcBorders>
              <w:top w:val="single" w:color="auto" w:sz="4" w:space="0"/>
              <w:left w:val="single" w:color="auto" w:sz="4" w:space="0"/>
            </w:tcBorders>
            <w:shd w:val="clear" w:color="auto" w:fill="FFFFFF"/>
            <w:noWrap w:val="0"/>
            <w:vAlign w:val="center"/>
          </w:tcPr>
          <w:p w14:paraId="78F62B04">
            <w:pPr>
              <w:pStyle w:val="26"/>
              <w:spacing w:line="240" w:lineRule="auto"/>
              <w:ind w:firstLine="200"/>
              <w:jc w:val="left"/>
              <w:rPr>
                <w:rFonts w:hint="eastAsia"/>
                <w:highlight w:val="none"/>
              </w:rPr>
            </w:pPr>
            <w:r>
              <w:rPr>
                <w:rFonts w:hint="eastAsia"/>
                <w:highlight w:val="none"/>
              </w:rPr>
              <w:t>排灌</w:t>
            </w:r>
          </w:p>
        </w:tc>
        <w:tc>
          <w:tcPr>
            <w:tcW w:w="2231" w:type="dxa"/>
            <w:tcBorders>
              <w:top w:val="single" w:color="auto" w:sz="4" w:space="0"/>
              <w:left w:val="single" w:color="auto" w:sz="4" w:space="0"/>
            </w:tcBorders>
            <w:shd w:val="clear" w:color="auto" w:fill="FFFFFF"/>
            <w:noWrap w:val="0"/>
            <w:vAlign w:val="center"/>
          </w:tcPr>
          <w:p w14:paraId="5CF89394">
            <w:pPr>
              <w:pStyle w:val="26"/>
              <w:spacing w:line="330" w:lineRule="exact"/>
              <w:ind w:firstLine="220"/>
              <w:rPr>
                <w:rFonts w:hint="eastAsia"/>
                <w:highlight w:val="none"/>
              </w:rPr>
            </w:pPr>
            <w:r>
              <w:rPr>
                <w:rFonts w:hint="eastAsia"/>
                <w:highlight w:val="none"/>
              </w:rPr>
              <w:t>暴雨后</w:t>
            </w:r>
            <w:r>
              <w:rPr>
                <w:rFonts w:hint="eastAsia"/>
                <w:highlight w:val="none"/>
                <w:lang w:val="en-US" w:eastAsia="zh-CN" w:bidi="en-US"/>
              </w:rPr>
              <w:t>1d</w:t>
            </w:r>
            <w:r>
              <w:rPr>
                <w:rFonts w:hint="eastAsia"/>
                <w:highlight w:val="none"/>
              </w:rPr>
              <w:t>内</w:t>
            </w:r>
            <w:r>
              <w:rPr>
                <w:rFonts w:hint="eastAsia"/>
                <w:highlight w:val="none"/>
                <w:lang w:val="en-US" w:eastAsia="zh-CN"/>
              </w:rPr>
              <w:t>恢复常</w:t>
            </w:r>
            <w:r>
              <w:rPr>
                <w:rFonts w:hint="eastAsia"/>
                <w:highlight w:val="none"/>
              </w:rPr>
              <w:t>水位</w:t>
            </w:r>
          </w:p>
        </w:tc>
        <w:tc>
          <w:tcPr>
            <w:tcW w:w="1941" w:type="dxa"/>
            <w:tcBorders>
              <w:top w:val="single" w:color="auto" w:sz="4" w:space="0"/>
              <w:left w:val="single" w:color="auto" w:sz="4" w:space="0"/>
            </w:tcBorders>
            <w:shd w:val="clear" w:color="auto" w:fill="FFFFFF"/>
            <w:noWrap w:val="0"/>
            <w:vAlign w:val="center"/>
          </w:tcPr>
          <w:p w14:paraId="30C99A81">
            <w:pPr>
              <w:pStyle w:val="26"/>
              <w:spacing w:line="240" w:lineRule="auto"/>
              <w:ind w:firstLine="200" w:firstLineChars="100"/>
              <w:jc w:val="left"/>
              <w:rPr>
                <w:rFonts w:hint="eastAsia"/>
                <w:highlight w:val="none"/>
                <w:lang w:val="en-US" w:eastAsia="zh-CN"/>
              </w:rPr>
            </w:pPr>
            <w:r>
              <w:rPr>
                <w:rFonts w:hint="eastAsia"/>
                <w:highlight w:val="none"/>
              </w:rPr>
              <w:t>暴雨后</w:t>
            </w:r>
            <w:r>
              <w:rPr>
                <w:rFonts w:hint="eastAsia"/>
                <w:highlight w:val="none"/>
                <w:lang w:val="en-US" w:eastAsia="zh-CN" w:bidi="en-US"/>
              </w:rPr>
              <w:t>1d</w:t>
            </w:r>
            <w:r>
              <w:rPr>
                <w:rFonts w:hint="eastAsia"/>
                <w:highlight w:val="none"/>
              </w:rPr>
              <w:t>内恢</w:t>
            </w:r>
            <w:r>
              <w:rPr>
                <w:rFonts w:hint="eastAsia"/>
                <w:highlight w:val="none"/>
                <w:lang w:val="en-US" w:eastAsia="zh-CN"/>
              </w:rPr>
              <w:t>复常水位</w:t>
            </w:r>
          </w:p>
        </w:tc>
        <w:tc>
          <w:tcPr>
            <w:tcW w:w="2248" w:type="dxa"/>
            <w:tcBorders>
              <w:top w:val="single" w:color="auto" w:sz="4" w:space="0"/>
              <w:left w:val="single" w:color="auto" w:sz="4" w:space="0"/>
              <w:right w:val="single" w:color="auto" w:sz="4" w:space="0"/>
            </w:tcBorders>
            <w:shd w:val="clear" w:color="auto" w:fill="FFFFFF"/>
            <w:noWrap w:val="0"/>
            <w:vAlign w:val="top"/>
          </w:tcPr>
          <w:p w14:paraId="4BCBC5EA">
            <w:pPr>
              <w:pStyle w:val="26"/>
              <w:spacing w:before="80" w:line="240" w:lineRule="auto"/>
              <w:ind w:firstLine="220"/>
              <w:jc w:val="left"/>
              <w:rPr>
                <w:rFonts w:hint="eastAsia"/>
                <w:highlight w:val="none"/>
              </w:rPr>
            </w:pPr>
            <w:r>
              <w:rPr>
                <w:rFonts w:hint="eastAsia"/>
                <w:highlight w:val="none"/>
              </w:rPr>
              <w:t>暴雨后</w:t>
            </w:r>
            <w:r>
              <w:rPr>
                <w:rFonts w:hint="eastAsia"/>
                <w:highlight w:val="none"/>
                <w:lang w:val="en-US" w:eastAsia="zh-CN"/>
              </w:rPr>
              <w:t>2d</w:t>
            </w:r>
            <w:r>
              <w:rPr>
                <w:rFonts w:hint="eastAsia"/>
                <w:highlight w:val="none"/>
              </w:rPr>
              <w:t>内</w:t>
            </w:r>
            <w:r>
              <w:rPr>
                <w:rFonts w:hint="eastAsia"/>
                <w:highlight w:val="none"/>
                <w:lang w:val="en-US" w:eastAsia="zh-CN"/>
              </w:rPr>
              <w:t>恢复常水位</w:t>
            </w:r>
          </w:p>
        </w:tc>
      </w:tr>
      <w:tr w14:paraId="7493AD49">
        <w:tblPrEx>
          <w:tblCellMar>
            <w:top w:w="0" w:type="dxa"/>
            <w:left w:w="10" w:type="dxa"/>
            <w:bottom w:w="0" w:type="dxa"/>
            <w:right w:w="10" w:type="dxa"/>
          </w:tblCellMar>
        </w:tblPrEx>
        <w:trPr>
          <w:trHeight w:val="920" w:hRule="exact"/>
          <w:jc w:val="center"/>
        </w:trPr>
        <w:tc>
          <w:tcPr>
            <w:tcW w:w="482" w:type="dxa"/>
            <w:tcBorders>
              <w:top w:val="single" w:color="auto" w:sz="4" w:space="0"/>
              <w:left w:val="single" w:color="auto" w:sz="4" w:space="0"/>
            </w:tcBorders>
            <w:shd w:val="clear" w:color="auto" w:fill="FFFFFF"/>
            <w:noWrap w:val="0"/>
            <w:vAlign w:val="center"/>
          </w:tcPr>
          <w:p w14:paraId="2FE68899">
            <w:pPr>
              <w:pStyle w:val="26"/>
              <w:spacing w:line="240" w:lineRule="auto"/>
              <w:ind w:firstLine="200" w:firstLineChars="100"/>
              <w:jc w:val="left"/>
              <w:rPr>
                <w:rFonts w:hint="eastAsia"/>
                <w:highlight w:val="none"/>
              </w:rPr>
            </w:pPr>
            <w:r>
              <w:rPr>
                <w:rFonts w:hint="eastAsia"/>
                <w:highlight w:val="none"/>
              </w:rPr>
              <w:t>4</w:t>
            </w:r>
          </w:p>
        </w:tc>
        <w:tc>
          <w:tcPr>
            <w:tcW w:w="737" w:type="dxa"/>
            <w:tcBorders>
              <w:top w:val="single" w:color="auto" w:sz="4" w:space="0"/>
              <w:left w:val="single" w:color="auto" w:sz="4" w:space="0"/>
            </w:tcBorders>
            <w:shd w:val="clear" w:color="auto" w:fill="FFFFFF"/>
            <w:noWrap w:val="0"/>
            <w:vAlign w:val="center"/>
          </w:tcPr>
          <w:p w14:paraId="44BD588C">
            <w:pPr>
              <w:pStyle w:val="26"/>
              <w:spacing w:line="300" w:lineRule="exact"/>
              <w:jc w:val="center"/>
              <w:rPr>
                <w:rFonts w:hint="eastAsia"/>
                <w:highlight w:val="none"/>
              </w:rPr>
            </w:pPr>
            <w:r>
              <w:rPr>
                <w:rFonts w:hint="eastAsia"/>
                <w:highlight w:val="none"/>
              </w:rPr>
              <w:t>病虫害情况</w:t>
            </w:r>
          </w:p>
        </w:tc>
        <w:tc>
          <w:tcPr>
            <w:tcW w:w="2231" w:type="dxa"/>
            <w:tcBorders>
              <w:top w:val="single" w:color="auto" w:sz="4" w:space="0"/>
              <w:left w:val="single" w:color="auto" w:sz="4" w:space="0"/>
            </w:tcBorders>
            <w:shd w:val="clear" w:color="auto" w:fill="FFFFFF"/>
            <w:noWrap w:val="0"/>
            <w:vAlign w:val="center"/>
          </w:tcPr>
          <w:p w14:paraId="35120C16">
            <w:pPr>
              <w:pStyle w:val="26"/>
              <w:spacing w:line="315" w:lineRule="exact"/>
              <w:ind w:firstLine="220"/>
              <w:rPr>
                <w:rFonts w:hint="eastAsia"/>
                <w:highlight w:val="none"/>
                <w:lang w:eastAsia="zh-CN"/>
              </w:rPr>
            </w:pPr>
            <w:r>
              <w:rPr>
                <w:rFonts w:hint="eastAsia"/>
                <w:highlight w:val="none"/>
              </w:rPr>
              <w:t>基本无有</w:t>
            </w:r>
            <w:r>
              <w:rPr>
                <w:rFonts w:hint="eastAsia"/>
                <w:highlight w:val="none"/>
                <w:lang w:val="en-US" w:eastAsia="zh-CN"/>
              </w:rPr>
              <w:t>害生物危害状，</w:t>
            </w:r>
            <w:r>
              <w:rPr>
                <w:rFonts w:hint="eastAsia"/>
                <w:highlight w:val="none"/>
              </w:rPr>
              <w:t>无杂</w:t>
            </w:r>
            <w:r>
              <w:rPr>
                <w:rFonts w:hint="eastAsia"/>
                <w:highlight w:val="none"/>
                <w:lang w:val="en-US" w:eastAsia="zh-CN"/>
              </w:rPr>
              <w:t>草</w:t>
            </w:r>
          </w:p>
        </w:tc>
        <w:tc>
          <w:tcPr>
            <w:tcW w:w="1941" w:type="dxa"/>
            <w:tcBorders>
              <w:top w:val="single" w:color="auto" w:sz="4" w:space="0"/>
              <w:left w:val="single" w:color="auto" w:sz="4" w:space="0"/>
            </w:tcBorders>
            <w:shd w:val="clear" w:color="auto" w:fill="FFFFFF"/>
            <w:noWrap w:val="0"/>
            <w:vAlign w:val="center"/>
          </w:tcPr>
          <w:p w14:paraId="2C889187">
            <w:pPr>
              <w:pStyle w:val="26"/>
              <w:spacing w:after="80" w:line="240" w:lineRule="auto"/>
              <w:ind w:firstLine="220"/>
              <w:jc w:val="left"/>
              <w:rPr>
                <w:rFonts w:hint="eastAsia"/>
                <w:highlight w:val="none"/>
              </w:rPr>
            </w:pPr>
            <w:r>
              <w:rPr>
                <w:rFonts w:hint="eastAsia"/>
                <w:highlight w:val="none"/>
              </w:rPr>
              <w:t>无明显有害生物危</w:t>
            </w:r>
          </w:p>
          <w:p w14:paraId="40287972">
            <w:pPr>
              <w:pStyle w:val="26"/>
              <w:spacing w:line="240" w:lineRule="auto"/>
              <w:jc w:val="left"/>
              <w:rPr>
                <w:rFonts w:hint="eastAsia"/>
                <w:highlight w:val="none"/>
                <w:lang w:eastAsia="zh-CN"/>
              </w:rPr>
            </w:pPr>
            <w:r>
              <w:rPr>
                <w:rFonts w:hint="eastAsia"/>
                <w:highlight w:val="none"/>
              </w:rPr>
              <w:t>害状</w:t>
            </w:r>
            <w:r>
              <w:rPr>
                <w:rFonts w:hint="eastAsia"/>
                <w:highlight w:val="none"/>
                <w:lang w:val="en-US" w:eastAsia="zh-CN" w:bidi="en-US"/>
              </w:rPr>
              <w:t>，</w:t>
            </w:r>
            <w:r>
              <w:rPr>
                <w:rFonts w:hint="eastAsia"/>
                <w:highlight w:val="none"/>
              </w:rPr>
              <w:t>无杂</w:t>
            </w:r>
            <w:r>
              <w:rPr>
                <w:rFonts w:hint="eastAsia"/>
                <w:highlight w:val="none"/>
                <w:lang w:val="en-US" w:eastAsia="zh-CN"/>
              </w:rPr>
              <w:t>草</w:t>
            </w:r>
          </w:p>
        </w:tc>
        <w:tc>
          <w:tcPr>
            <w:tcW w:w="2248" w:type="dxa"/>
            <w:tcBorders>
              <w:top w:val="single" w:color="auto" w:sz="4" w:space="0"/>
              <w:left w:val="single" w:color="auto" w:sz="4" w:space="0"/>
              <w:right w:val="single" w:color="auto" w:sz="4" w:space="0"/>
            </w:tcBorders>
            <w:shd w:val="clear" w:color="auto" w:fill="FFFFFF"/>
            <w:noWrap w:val="0"/>
            <w:vAlign w:val="center"/>
          </w:tcPr>
          <w:p w14:paraId="4AA18B6C">
            <w:pPr>
              <w:pStyle w:val="26"/>
              <w:spacing w:line="300" w:lineRule="exact"/>
              <w:ind w:firstLine="220"/>
              <w:jc w:val="left"/>
              <w:rPr>
                <w:rFonts w:hint="eastAsia"/>
                <w:highlight w:val="none"/>
              </w:rPr>
            </w:pPr>
            <w:r>
              <w:rPr>
                <w:rFonts w:hint="eastAsia"/>
                <w:highlight w:val="none"/>
              </w:rPr>
              <w:t>无严</w:t>
            </w:r>
            <w:r>
              <w:rPr>
                <w:rFonts w:hint="eastAsia"/>
                <w:highlight w:val="none"/>
                <w:lang w:val="en-US" w:eastAsia="zh-CN"/>
              </w:rPr>
              <w:t>重</w:t>
            </w:r>
            <w:r>
              <w:rPr>
                <w:rFonts w:hint="eastAsia"/>
                <w:highlight w:val="none"/>
              </w:rPr>
              <w:t>有害生物危害状</w:t>
            </w:r>
          </w:p>
        </w:tc>
      </w:tr>
      <w:tr w14:paraId="33F6CA15">
        <w:tblPrEx>
          <w:tblCellMar>
            <w:top w:w="0" w:type="dxa"/>
            <w:left w:w="10" w:type="dxa"/>
            <w:bottom w:w="0" w:type="dxa"/>
            <w:right w:w="10" w:type="dxa"/>
          </w:tblCellMar>
        </w:tblPrEx>
        <w:trPr>
          <w:trHeight w:val="442" w:hRule="exact"/>
          <w:jc w:val="center"/>
        </w:trPr>
        <w:tc>
          <w:tcPr>
            <w:tcW w:w="482" w:type="dxa"/>
            <w:tcBorders>
              <w:top w:val="single" w:color="auto" w:sz="4" w:space="0"/>
              <w:left w:val="single" w:color="auto" w:sz="4" w:space="0"/>
            </w:tcBorders>
            <w:shd w:val="clear" w:color="auto" w:fill="FFFFFF"/>
            <w:noWrap w:val="0"/>
            <w:vAlign w:val="top"/>
          </w:tcPr>
          <w:p w14:paraId="5734A18F">
            <w:pPr>
              <w:pStyle w:val="26"/>
              <w:spacing w:line="240" w:lineRule="auto"/>
              <w:ind w:firstLine="200" w:firstLineChars="100"/>
              <w:jc w:val="left"/>
              <w:rPr>
                <w:rFonts w:hint="eastAsia"/>
                <w:highlight w:val="none"/>
              </w:rPr>
            </w:pPr>
            <w:r>
              <w:rPr>
                <w:rFonts w:hint="eastAsia"/>
                <w:highlight w:val="none"/>
              </w:rPr>
              <w:t>5</w:t>
            </w:r>
          </w:p>
        </w:tc>
        <w:tc>
          <w:tcPr>
            <w:tcW w:w="737" w:type="dxa"/>
            <w:tcBorders>
              <w:top w:val="single" w:color="auto" w:sz="4" w:space="0"/>
              <w:left w:val="single" w:color="auto" w:sz="4" w:space="0"/>
            </w:tcBorders>
            <w:shd w:val="clear" w:color="auto" w:fill="FFFFFF"/>
            <w:noWrap w:val="0"/>
            <w:vAlign w:val="top"/>
          </w:tcPr>
          <w:p w14:paraId="150EC60D">
            <w:pPr>
              <w:pStyle w:val="26"/>
              <w:spacing w:line="240" w:lineRule="auto"/>
              <w:jc w:val="center"/>
              <w:rPr>
                <w:rFonts w:hint="eastAsia"/>
                <w:highlight w:val="none"/>
              </w:rPr>
            </w:pPr>
            <w:r>
              <w:rPr>
                <w:rFonts w:hint="eastAsia"/>
                <w:highlight w:val="none"/>
                <w:lang w:val="en-US" w:eastAsia="zh-CN"/>
              </w:rPr>
              <w:t>覆盖</w:t>
            </w:r>
            <w:r>
              <w:rPr>
                <w:rFonts w:hint="eastAsia"/>
                <w:highlight w:val="none"/>
              </w:rPr>
              <w:t>率</w:t>
            </w:r>
          </w:p>
        </w:tc>
        <w:tc>
          <w:tcPr>
            <w:tcW w:w="2231" w:type="dxa"/>
            <w:tcBorders>
              <w:top w:val="single" w:color="auto" w:sz="4" w:space="0"/>
              <w:left w:val="single" w:color="auto" w:sz="4" w:space="0"/>
            </w:tcBorders>
            <w:shd w:val="clear" w:color="auto" w:fill="FFFFFF"/>
            <w:noWrap w:val="0"/>
            <w:vAlign w:val="top"/>
          </w:tcPr>
          <w:p w14:paraId="5FC811F0">
            <w:pPr>
              <w:pStyle w:val="26"/>
              <w:spacing w:line="240" w:lineRule="auto"/>
              <w:jc w:val="center"/>
              <w:rPr>
                <w:rFonts w:hint="eastAsia"/>
                <w:highlight w:val="none"/>
              </w:rPr>
            </w:pPr>
            <w:r>
              <w:rPr>
                <w:rFonts w:hint="eastAsia"/>
                <w:highlight w:val="none"/>
                <w:lang w:val="en-US" w:eastAsia="zh-CN"/>
              </w:rPr>
              <w:t>≥</w:t>
            </w:r>
            <w:r>
              <w:rPr>
                <w:rFonts w:hint="eastAsia"/>
                <w:highlight w:val="none"/>
              </w:rPr>
              <w:t>95%</w:t>
            </w:r>
          </w:p>
        </w:tc>
        <w:tc>
          <w:tcPr>
            <w:tcW w:w="1941" w:type="dxa"/>
            <w:tcBorders>
              <w:top w:val="single" w:color="auto" w:sz="4" w:space="0"/>
              <w:left w:val="single" w:color="auto" w:sz="4" w:space="0"/>
            </w:tcBorders>
            <w:shd w:val="clear" w:color="auto" w:fill="FFFFFF"/>
            <w:noWrap w:val="0"/>
            <w:vAlign w:val="top"/>
          </w:tcPr>
          <w:p w14:paraId="772CBDEC">
            <w:pPr>
              <w:pStyle w:val="26"/>
              <w:spacing w:line="240" w:lineRule="auto"/>
              <w:jc w:val="center"/>
              <w:rPr>
                <w:rFonts w:hint="eastAsia"/>
                <w:highlight w:val="none"/>
              </w:rPr>
            </w:pPr>
            <w:r>
              <w:rPr>
                <w:rFonts w:hint="eastAsia"/>
                <w:highlight w:val="none"/>
                <w:lang w:val="en-US" w:eastAsia="zh-CN"/>
              </w:rPr>
              <w:t>≥</w:t>
            </w:r>
            <w:r>
              <w:rPr>
                <w:rFonts w:hint="eastAsia"/>
                <w:highlight w:val="none"/>
              </w:rPr>
              <w:t>90%</w:t>
            </w:r>
          </w:p>
        </w:tc>
        <w:tc>
          <w:tcPr>
            <w:tcW w:w="2248" w:type="dxa"/>
            <w:tcBorders>
              <w:top w:val="single" w:color="auto" w:sz="4" w:space="0"/>
              <w:left w:val="single" w:color="auto" w:sz="4" w:space="0"/>
              <w:right w:val="single" w:color="auto" w:sz="4" w:space="0"/>
            </w:tcBorders>
            <w:shd w:val="clear" w:color="auto" w:fill="FFFFFF"/>
            <w:noWrap w:val="0"/>
            <w:vAlign w:val="top"/>
          </w:tcPr>
          <w:p w14:paraId="59477639">
            <w:pPr>
              <w:pStyle w:val="26"/>
              <w:spacing w:line="240" w:lineRule="auto"/>
              <w:jc w:val="center"/>
              <w:rPr>
                <w:rFonts w:hint="eastAsia"/>
                <w:sz w:val="21"/>
                <w:szCs w:val="21"/>
                <w:highlight w:val="none"/>
                <w:lang w:val="en-US"/>
              </w:rPr>
            </w:pPr>
            <w:r>
              <w:rPr>
                <w:rFonts w:hint="eastAsia"/>
                <w:highlight w:val="none"/>
                <w:lang w:val="en-US" w:eastAsia="zh-CN"/>
              </w:rPr>
              <w:t>≥85％</w:t>
            </w:r>
          </w:p>
        </w:tc>
      </w:tr>
      <w:tr w14:paraId="1F4EDE0B">
        <w:tblPrEx>
          <w:tblCellMar>
            <w:top w:w="0" w:type="dxa"/>
            <w:left w:w="10" w:type="dxa"/>
            <w:bottom w:w="0" w:type="dxa"/>
            <w:right w:w="10" w:type="dxa"/>
          </w:tblCellMar>
        </w:tblPrEx>
        <w:trPr>
          <w:trHeight w:val="970" w:hRule="exact"/>
          <w:jc w:val="center"/>
        </w:trPr>
        <w:tc>
          <w:tcPr>
            <w:tcW w:w="482" w:type="dxa"/>
            <w:tcBorders>
              <w:top w:val="single" w:color="auto" w:sz="4" w:space="0"/>
              <w:left w:val="single" w:color="auto" w:sz="4" w:space="0"/>
              <w:bottom w:val="single" w:color="auto" w:sz="4" w:space="0"/>
            </w:tcBorders>
            <w:shd w:val="clear" w:color="auto" w:fill="FFFFFF"/>
            <w:noWrap w:val="0"/>
            <w:vAlign w:val="center"/>
          </w:tcPr>
          <w:p w14:paraId="086658A6">
            <w:pPr>
              <w:pStyle w:val="26"/>
              <w:spacing w:line="240" w:lineRule="auto"/>
              <w:ind w:firstLine="200" w:firstLineChars="100"/>
              <w:jc w:val="left"/>
              <w:rPr>
                <w:rFonts w:hint="eastAsia"/>
                <w:highlight w:val="none"/>
              </w:rPr>
            </w:pPr>
            <w:r>
              <w:rPr>
                <w:rFonts w:hint="eastAsia"/>
                <w:highlight w:val="none"/>
              </w:rPr>
              <w:t>6</w:t>
            </w:r>
          </w:p>
        </w:tc>
        <w:tc>
          <w:tcPr>
            <w:tcW w:w="737" w:type="dxa"/>
            <w:tcBorders>
              <w:top w:val="single" w:color="auto" w:sz="4" w:space="0"/>
              <w:left w:val="single" w:color="auto" w:sz="4" w:space="0"/>
              <w:bottom w:val="single" w:color="auto" w:sz="4" w:space="0"/>
            </w:tcBorders>
            <w:shd w:val="clear" w:color="auto" w:fill="FFFFFF"/>
            <w:noWrap w:val="0"/>
            <w:vAlign w:val="center"/>
          </w:tcPr>
          <w:p w14:paraId="70701B04">
            <w:pPr>
              <w:pStyle w:val="26"/>
              <w:spacing w:line="330" w:lineRule="exact"/>
              <w:jc w:val="center"/>
              <w:rPr>
                <w:rFonts w:hint="eastAsia"/>
                <w:highlight w:val="none"/>
                <w:lang w:eastAsia="zh-CN"/>
              </w:rPr>
            </w:pPr>
            <w:r>
              <w:rPr>
                <w:rFonts w:hint="eastAsia"/>
                <w:highlight w:val="none"/>
              </w:rPr>
              <w:t>补</w:t>
            </w:r>
            <w:r>
              <w:rPr>
                <w:rFonts w:hint="eastAsia"/>
                <w:highlight w:val="none"/>
                <w:lang w:val="zh-CN" w:eastAsia="zh-CN" w:bidi="zh-CN"/>
              </w:rPr>
              <w:t xml:space="preserve">植完成 </w:t>
            </w:r>
            <w:r>
              <w:rPr>
                <w:rFonts w:hint="eastAsia"/>
                <w:highlight w:val="none"/>
              </w:rPr>
              <w:t>时</w:t>
            </w:r>
            <w:r>
              <w:rPr>
                <w:rFonts w:hint="eastAsia"/>
                <w:highlight w:val="none"/>
                <w:lang w:val="en-US" w:eastAsia="zh-CN"/>
              </w:rPr>
              <w:t>间</w:t>
            </w:r>
          </w:p>
        </w:tc>
        <w:tc>
          <w:tcPr>
            <w:tcW w:w="2231" w:type="dxa"/>
            <w:tcBorders>
              <w:top w:val="single" w:color="auto" w:sz="4" w:space="0"/>
              <w:left w:val="single" w:color="auto" w:sz="4" w:space="0"/>
              <w:bottom w:val="single" w:color="auto" w:sz="4" w:space="0"/>
            </w:tcBorders>
            <w:shd w:val="clear" w:color="auto" w:fill="FFFFFF"/>
            <w:noWrap w:val="0"/>
            <w:vAlign w:val="center"/>
          </w:tcPr>
          <w:p w14:paraId="5334447C">
            <w:pPr>
              <w:pStyle w:val="26"/>
              <w:spacing w:line="240" w:lineRule="auto"/>
              <w:jc w:val="center"/>
              <w:rPr>
                <w:rFonts w:hint="eastAsia"/>
                <w:highlight w:val="none"/>
                <w:lang w:val="en-US"/>
              </w:rPr>
            </w:pPr>
            <w:r>
              <w:rPr>
                <w:rFonts w:hint="eastAsia"/>
                <w:highlight w:val="none"/>
                <w:lang w:val="en-US" w:eastAsia="zh-CN"/>
              </w:rPr>
              <w:t>≤3d</w:t>
            </w:r>
          </w:p>
        </w:tc>
        <w:tc>
          <w:tcPr>
            <w:tcW w:w="1941" w:type="dxa"/>
            <w:tcBorders>
              <w:top w:val="single" w:color="auto" w:sz="4" w:space="0"/>
              <w:left w:val="single" w:color="auto" w:sz="4" w:space="0"/>
              <w:bottom w:val="single" w:color="auto" w:sz="4" w:space="0"/>
            </w:tcBorders>
            <w:shd w:val="clear" w:color="auto" w:fill="FFFFFF"/>
            <w:noWrap w:val="0"/>
            <w:vAlign w:val="center"/>
          </w:tcPr>
          <w:p w14:paraId="1187A8A0">
            <w:pPr>
              <w:pStyle w:val="26"/>
              <w:spacing w:line="240" w:lineRule="auto"/>
              <w:jc w:val="center"/>
              <w:rPr>
                <w:rFonts w:hint="eastAsia"/>
                <w:highlight w:val="none"/>
                <w:lang w:val="en-US"/>
              </w:rPr>
            </w:pPr>
            <w:r>
              <w:rPr>
                <w:rFonts w:hint="eastAsia"/>
                <w:highlight w:val="none"/>
                <w:lang w:val="en-US" w:eastAsia="zh-CN"/>
              </w:rPr>
              <w:t>≤7d</w:t>
            </w:r>
          </w:p>
        </w:tc>
        <w:tc>
          <w:tcPr>
            <w:tcW w:w="224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25D418">
            <w:pPr>
              <w:pStyle w:val="26"/>
              <w:spacing w:line="240" w:lineRule="auto"/>
              <w:ind w:firstLine="700"/>
              <w:jc w:val="left"/>
              <w:rPr>
                <w:rFonts w:hint="eastAsia"/>
                <w:highlight w:val="none"/>
                <w:lang w:val="en-US"/>
              </w:rPr>
            </w:pPr>
            <w:r>
              <w:rPr>
                <w:rFonts w:hint="eastAsia"/>
                <w:highlight w:val="none"/>
                <w:lang w:val="en-US" w:eastAsia="zh-CN"/>
              </w:rPr>
              <w:t>≤10d</w:t>
            </w:r>
          </w:p>
        </w:tc>
      </w:tr>
    </w:tbl>
    <w:p w14:paraId="2830DCCD">
      <w:pPr>
        <w:spacing w:line="1" w:lineRule="exact"/>
        <w:rPr>
          <w:rFonts w:hint="eastAsia" w:ascii="宋体" w:hAnsi="宋体" w:cs="宋体"/>
          <w:sz w:val="4"/>
          <w:szCs w:val="4"/>
          <w:highlight w:val="none"/>
        </w:rPr>
      </w:pPr>
      <w:r>
        <w:rPr>
          <w:rFonts w:hint="eastAsia" w:ascii="宋体" w:hAnsi="宋体" w:cs="宋体"/>
          <w:sz w:val="22"/>
          <w:szCs w:val="24"/>
          <w:highlight w:val="none"/>
        </w:rPr>
        <w:br w:type="page"/>
      </w:r>
    </w:p>
    <w:p w14:paraId="13CFE6EF">
      <w:pPr>
        <w:pStyle w:val="27"/>
        <w:keepNext/>
        <w:keepLines/>
        <w:spacing w:before="0" w:after="0"/>
        <w:rPr>
          <w:rFonts w:hint="eastAsia"/>
          <w:sz w:val="36"/>
          <w:szCs w:val="36"/>
          <w:highlight w:val="none"/>
        </w:rPr>
      </w:pPr>
      <w:bookmarkStart w:id="648" w:name="bookmark22"/>
      <w:bookmarkStart w:id="649" w:name="bookmark24"/>
      <w:bookmarkStart w:id="650" w:name="bookmark23"/>
      <w:r>
        <w:rPr>
          <w:rFonts w:hint="eastAsia"/>
          <w:sz w:val="36"/>
          <w:szCs w:val="36"/>
          <w:highlight w:val="none"/>
        </w:rPr>
        <w:t>附录</w:t>
      </w:r>
      <w:r>
        <w:rPr>
          <w:rFonts w:hint="eastAsia"/>
          <w:sz w:val="36"/>
          <w:szCs w:val="36"/>
          <w:highlight w:val="none"/>
          <w:lang w:val="en-US" w:eastAsia="zh-CN"/>
        </w:rPr>
        <w:t xml:space="preserve">F </w:t>
      </w:r>
      <w:r>
        <w:rPr>
          <w:rFonts w:hint="eastAsia"/>
          <w:sz w:val="36"/>
          <w:szCs w:val="36"/>
          <w:highlight w:val="none"/>
        </w:rPr>
        <w:t>竹类养护质量等级</w:t>
      </w:r>
      <w:bookmarkEnd w:id="648"/>
      <w:bookmarkEnd w:id="649"/>
      <w:bookmarkEnd w:id="650"/>
    </w:p>
    <w:tbl>
      <w:tblPr>
        <w:tblStyle w:val="14"/>
        <w:tblW w:w="7798" w:type="dxa"/>
        <w:jc w:val="center"/>
        <w:tblLayout w:type="fixed"/>
        <w:tblCellMar>
          <w:top w:w="0" w:type="dxa"/>
          <w:left w:w="10" w:type="dxa"/>
          <w:bottom w:w="0" w:type="dxa"/>
          <w:right w:w="10" w:type="dxa"/>
        </w:tblCellMar>
      </w:tblPr>
      <w:tblGrid>
        <w:gridCol w:w="450"/>
        <w:gridCol w:w="814"/>
        <w:gridCol w:w="2326"/>
        <w:gridCol w:w="2078"/>
        <w:gridCol w:w="2130"/>
      </w:tblGrid>
      <w:tr w14:paraId="5A31890E">
        <w:tblPrEx>
          <w:tblCellMar>
            <w:top w:w="0" w:type="dxa"/>
            <w:left w:w="10" w:type="dxa"/>
            <w:bottom w:w="0" w:type="dxa"/>
            <w:right w:w="10" w:type="dxa"/>
          </w:tblCellMar>
        </w:tblPrEx>
        <w:trPr>
          <w:trHeight w:val="449" w:hRule="exact"/>
          <w:jc w:val="center"/>
        </w:trPr>
        <w:tc>
          <w:tcPr>
            <w:tcW w:w="450" w:type="dxa"/>
            <w:vMerge w:val="restart"/>
            <w:tcBorders>
              <w:top w:val="single" w:color="auto" w:sz="4" w:space="0"/>
              <w:left w:val="single" w:color="auto" w:sz="4" w:space="0"/>
            </w:tcBorders>
            <w:shd w:val="clear" w:color="auto" w:fill="FFFFFF"/>
            <w:noWrap w:val="0"/>
            <w:vAlign w:val="center"/>
          </w:tcPr>
          <w:p w14:paraId="147721CB">
            <w:pPr>
              <w:pStyle w:val="26"/>
              <w:spacing w:line="315" w:lineRule="exact"/>
              <w:jc w:val="center"/>
              <w:rPr>
                <w:rFonts w:hint="eastAsia"/>
                <w:highlight w:val="none"/>
              </w:rPr>
            </w:pPr>
            <w:r>
              <w:rPr>
                <w:rFonts w:hint="eastAsia"/>
                <w:highlight w:val="none"/>
              </w:rPr>
              <w:t>序 号</w:t>
            </w:r>
          </w:p>
        </w:tc>
        <w:tc>
          <w:tcPr>
            <w:tcW w:w="814" w:type="dxa"/>
            <w:vMerge w:val="restart"/>
            <w:tcBorders>
              <w:top w:val="single" w:color="auto" w:sz="4" w:space="0"/>
              <w:left w:val="single" w:color="auto" w:sz="4" w:space="0"/>
            </w:tcBorders>
            <w:shd w:val="clear" w:color="auto" w:fill="FFFFFF"/>
            <w:noWrap w:val="0"/>
            <w:vAlign w:val="center"/>
          </w:tcPr>
          <w:p w14:paraId="45BB334C">
            <w:pPr>
              <w:pStyle w:val="26"/>
              <w:spacing w:line="240" w:lineRule="auto"/>
              <w:ind w:firstLine="200"/>
              <w:jc w:val="left"/>
              <w:rPr>
                <w:rFonts w:hint="eastAsia"/>
                <w:highlight w:val="none"/>
              </w:rPr>
            </w:pPr>
            <w:r>
              <w:rPr>
                <w:rFonts w:hint="eastAsia"/>
                <w:highlight w:val="none"/>
              </w:rPr>
              <w:t>项目</w:t>
            </w:r>
          </w:p>
        </w:tc>
        <w:tc>
          <w:tcPr>
            <w:tcW w:w="6534" w:type="dxa"/>
            <w:gridSpan w:val="3"/>
            <w:tcBorders>
              <w:top w:val="single" w:color="auto" w:sz="4" w:space="0"/>
              <w:left w:val="single" w:color="auto" w:sz="4" w:space="0"/>
              <w:right w:val="single" w:color="auto" w:sz="4" w:space="0"/>
            </w:tcBorders>
            <w:shd w:val="clear" w:color="auto" w:fill="FFFFFF"/>
            <w:noWrap w:val="0"/>
            <w:vAlign w:val="center"/>
          </w:tcPr>
          <w:p w14:paraId="35C09AD3">
            <w:pPr>
              <w:pStyle w:val="26"/>
              <w:spacing w:line="240" w:lineRule="auto"/>
              <w:jc w:val="center"/>
              <w:rPr>
                <w:rFonts w:hint="eastAsia"/>
                <w:highlight w:val="none"/>
              </w:rPr>
            </w:pPr>
            <w:r>
              <w:rPr>
                <w:rFonts w:hint="eastAsia"/>
                <w:highlight w:val="none"/>
              </w:rPr>
              <w:t>质</w:t>
            </w:r>
            <w:r>
              <w:rPr>
                <w:rFonts w:hint="eastAsia"/>
                <w:highlight w:val="none"/>
                <w:lang w:val="en-US" w:eastAsia="zh-CN"/>
              </w:rPr>
              <w:t>量</w:t>
            </w:r>
            <w:r>
              <w:rPr>
                <w:rFonts w:hint="eastAsia"/>
                <w:highlight w:val="none"/>
              </w:rPr>
              <w:t>要求</w:t>
            </w:r>
          </w:p>
        </w:tc>
      </w:tr>
      <w:tr w14:paraId="4BE317C6">
        <w:tblPrEx>
          <w:tblCellMar>
            <w:top w:w="0" w:type="dxa"/>
            <w:left w:w="10" w:type="dxa"/>
            <w:bottom w:w="0" w:type="dxa"/>
            <w:right w:w="10" w:type="dxa"/>
          </w:tblCellMar>
        </w:tblPrEx>
        <w:trPr>
          <w:trHeight w:val="449" w:hRule="exact"/>
          <w:jc w:val="center"/>
        </w:trPr>
        <w:tc>
          <w:tcPr>
            <w:tcW w:w="450" w:type="dxa"/>
            <w:vMerge w:val="continue"/>
            <w:tcBorders>
              <w:left w:val="single" w:color="auto" w:sz="4" w:space="0"/>
            </w:tcBorders>
            <w:shd w:val="clear" w:color="auto" w:fill="FFFFFF"/>
            <w:noWrap w:val="0"/>
            <w:vAlign w:val="center"/>
          </w:tcPr>
          <w:p w14:paraId="12483F73">
            <w:pPr>
              <w:rPr>
                <w:rFonts w:hint="eastAsia" w:ascii="宋体" w:hAnsi="宋体" w:cs="宋体"/>
                <w:sz w:val="22"/>
                <w:szCs w:val="24"/>
                <w:highlight w:val="none"/>
              </w:rPr>
            </w:pPr>
          </w:p>
        </w:tc>
        <w:tc>
          <w:tcPr>
            <w:tcW w:w="814" w:type="dxa"/>
            <w:vMerge w:val="continue"/>
            <w:tcBorders>
              <w:left w:val="single" w:color="auto" w:sz="4" w:space="0"/>
            </w:tcBorders>
            <w:shd w:val="clear" w:color="auto" w:fill="FFFFFF"/>
            <w:noWrap w:val="0"/>
            <w:vAlign w:val="center"/>
          </w:tcPr>
          <w:p w14:paraId="4A4C5BD7">
            <w:pPr>
              <w:rPr>
                <w:rFonts w:hint="eastAsia" w:ascii="宋体" w:hAnsi="宋体" w:cs="宋体"/>
                <w:sz w:val="22"/>
                <w:szCs w:val="24"/>
                <w:highlight w:val="none"/>
              </w:rPr>
            </w:pPr>
          </w:p>
        </w:tc>
        <w:tc>
          <w:tcPr>
            <w:tcW w:w="2326" w:type="dxa"/>
            <w:tcBorders>
              <w:top w:val="single" w:color="auto" w:sz="4" w:space="0"/>
              <w:left w:val="single" w:color="auto" w:sz="4" w:space="0"/>
            </w:tcBorders>
            <w:shd w:val="clear" w:color="auto" w:fill="FFFFFF"/>
            <w:noWrap w:val="0"/>
            <w:vAlign w:val="center"/>
          </w:tcPr>
          <w:p w14:paraId="1C42BC83">
            <w:pPr>
              <w:pStyle w:val="26"/>
              <w:spacing w:line="240" w:lineRule="auto"/>
              <w:jc w:val="center"/>
              <w:rPr>
                <w:rFonts w:hint="eastAsia"/>
                <w:highlight w:val="none"/>
              </w:rPr>
            </w:pPr>
            <w:r>
              <w:rPr>
                <w:rFonts w:hint="eastAsia"/>
                <w:highlight w:val="none"/>
                <w:lang w:val="en-US" w:eastAsia="zh-CN"/>
              </w:rPr>
              <w:t>一</w:t>
            </w:r>
            <w:r>
              <w:rPr>
                <w:rFonts w:hint="eastAsia"/>
                <w:highlight w:val="none"/>
              </w:rPr>
              <w:t>级</w:t>
            </w:r>
          </w:p>
        </w:tc>
        <w:tc>
          <w:tcPr>
            <w:tcW w:w="2078" w:type="dxa"/>
            <w:tcBorders>
              <w:top w:val="single" w:color="auto" w:sz="4" w:space="0"/>
              <w:left w:val="single" w:color="auto" w:sz="4" w:space="0"/>
            </w:tcBorders>
            <w:shd w:val="clear" w:color="auto" w:fill="FFFFFF"/>
            <w:noWrap w:val="0"/>
            <w:vAlign w:val="center"/>
          </w:tcPr>
          <w:p w14:paraId="64027656">
            <w:pPr>
              <w:pStyle w:val="26"/>
              <w:spacing w:line="240" w:lineRule="auto"/>
              <w:jc w:val="center"/>
              <w:rPr>
                <w:rFonts w:hint="eastAsia"/>
                <w:highlight w:val="none"/>
                <w:lang w:eastAsia="zh-CN"/>
              </w:rPr>
            </w:pPr>
            <w:r>
              <w:rPr>
                <w:rFonts w:hint="eastAsia"/>
                <w:highlight w:val="none"/>
              </w:rPr>
              <w:t>二</w:t>
            </w:r>
            <w:r>
              <w:rPr>
                <w:rFonts w:hint="eastAsia"/>
                <w:highlight w:val="none"/>
                <w:lang w:val="en-US" w:eastAsia="zh-CN"/>
              </w:rPr>
              <w:t>级</w:t>
            </w:r>
          </w:p>
        </w:tc>
        <w:tc>
          <w:tcPr>
            <w:tcW w:w="2130" w:type="dxa"/>
            <w:tcBorders>
              <w:top w:val="single" w:color="auto" w:sz="4" w:space="0"/>
              <w:left w:val="single" w:color="auto" w:sz="4" w:space="0"/>
              <w:right w:val="single" w:color="auto" w:sz="4" w:space="0"/>
            </w:tcBorders>
            <w:shd w:val="clear" w:color="auto" w:fill="FFFFFF"/>
            <w:noWrap w:val="0"/>
            <w:vAlign w:val="center"/>
          </w:tcPr>
          <w:p w14:paraId="17F3E883">
            <w:pPr>
              <w:pStyle w:val="26"/>
              <w:spacing w:line="240" w:lineRule="auto"/>
              <w:jc w:val="center"/>
              <w:rPr>
                <w:rFonts w:hint="eastAsia"/>
                <w:highlight w:val="none"/>
              </w:rPr>
            </w:pPr>
            <w:r>
              <w:rPr>
                <w:rFonts w:hint="eastAsia"/>
                <w:highlight w:val="none"/>
              </w:rPr>
              <w:t>三级</w:t>
            </w:r>
          </w:p>
        </w:tc>
      </w:tr>
      <w:tr w14:paraId="743BC369">
        <w:tblPrEx>
          <w:tblCellMar>
            <w:top w:w="0" w:type="dxa"/>
            <w:left w:w="10" w:type="dxa"/>
            <w:bottom w:w="0" w:type="dxa"/>
            <w:right w:w="10" w:type="dxa"/>
          </w:tblCellMar>
        </w:tblPrEx>
        <w:trPr>
          <w:trHeight w:val="1245" w:hRule="exact"/>
          <w:jc w:val="center"/>
        </w:trPr>
        <w:tc>
          <w:tcPr>
            <w:tcW w:w="450" w:type="dxa"/>
            <w:tcBorders>
              <w:top w:val="single" w:color="auto" w:sz="4" w:space="0"/>
              <w:left w:val="single" w:color="auto" w:sz="4" w:space="0"/>
            </w:tcBorders>
            <w:shd w:val="clear" w:color="auto" w:fill="FFFFFF"/>
            <w:noWrap w:val="0"/>
            <w:vAlign w:val="center"/>
          </w:tcPr>
          <w:p w14:paraId="6353026A">
            <w:pPr>
              <w:pStyle w:val="26"/>
              <w:spacing w:line="240" w:lineRule="auto"/>
              <w:ind w:firstLine="200" w:firstLineChars="100"/>
              <w:jc w:val="left"/>
              <w:rPr>
                <w:rFonts w:hint="eastAsia"/>
                <w:highlight w:val="none"/>
              </w:rPr>
            </w:pPr>
            <w:r>
              <w:rPr>
                <w:rFonts w:hint="eastAsia"/>
                <w:highlight w:val="none"/>
              </w:rPr>
              <w:t>1</w:t>
            </w:r>
          </w:p>
        </w:tc>
        <w:tc>
          <w:tcPr>
            <w:tcW w:w="814" w:type="dxa"/>
            <w:tcBorders>
              <w:top w:val="single" w:color="auto" w:sz="4" w:space="0"/>
              <w:left w:val="single" w:color="auto" w:sz="4" w:space="0"/>
            </w:tcBorders>
            <w:shd w:val="clear" w:color="auto" w:fill="FFFFFF"/>
            <w:noWrap w:val="0"/>
            <w:vAlign w:val="center"/>
          </w:tcPr>
          <w:p w14:paraId="6F28A599">
            <w:pPr>
              <w:pStyle w:val="26"/>
              <w:spacing w:line="240" w:lineRule="auto"/>
              <w:jc w:val="left"/>
              <w:rPr>
                <w:rFonts w:hint="eastAsia"/>
                <w:highlight w:val="none"/>
                <w:lang w:eastAsia="zh-CN"/>
              </w:rPr>
            </w:pPr>
            <w:r>
              <w:rPr>
                <w:rFonts w:hint="eastAsia"/>
                <w:highlight w:val="none"/>
                <w:lang w:val="en-US" w:eastAsia="zh-CN" w:bidi="en-US"/>
              </w:rPr>
              <w:t>整体效果</w:t>
            </w:r>
          </w:p>
        </w:tc>
        <w:tc>
          <w:tcPr>
            <w:tcW w:w="2326" w:type="dxa"/>
            <w:tcBorders>
              <w:top w:val="single" w:color="auto" w:sz="4" w:space="0"/>
              <w:left w:val="single" w:color="auto" w:sz="4" w:space="0"/>
            </w:tcBorders>
            <w:shd w:val="clear" w:color="auto" w:fill="FFFFFF"/>
            <w:noWrap w:val="0"/>
            <w:vAlign w:val="center"/>
          </w:tcPr>
          <w:p w14:paraId="5C4CEDA8">
            <w:pPr>
              <w:pStyle w:val="26"/>
              <w:spacing w:after="40" w:line="240" w:lineRule="auto"/>
              <w:ind w:firstLine="220"/>
              <w:jc w:val="left"/>
              <w:rPr>
                <w:rFonts w:hint="eastAsia"/>
                <w:highlight w:val="none"/>
              </w:rPr>
            </w:pPr>
            <w:r>
              <w:rPr>
                <w:rFonts w:hint="eastAsia"/>
                <w:highlight w:val="none"/>
              </w:rPr>
              <w:t>（1）死竹、枯竹、</w:t>
            </w:r>
          </w:p>
          <w:p w14:paraId="0CA66FE8">
            <w:pPr>
              <w:pStyle w:val="26"/>
              <w:spacing w:after="120" w:line="240" w:lineRule="auto"/>
              <w:jc w:val="left"/>
              <w:rPr>
                <w:rFonts w:hint="eastAsia"/>
                <w:highlight w:val="none"/>
              </w:rPr>
            </w:pPr>
            <w:r>
              <w:rPr>
                <w:rFonts w:hint="eastAsia"/>
                <w:highlight w:val="none"/>
              </w:rPr>
              <w:t>破损竹</w:t>
            </w:r>
            <w:r>
              <w:rPr>
                <w:rFonts w:hint="eastAsia"/>
                <w:highlight w:val="none"/>
                <w:lang w:val="en-US" w:eastAsia="zh-CN"/>
              </w:rPr>
              <w:t>≤</w:t>
            </w:r>
            <w:r>
              <w:rPr>
                <w:rFonts w:hint="eastAsia"/>
                <w:highlight w:val="none"/>
              </w:rPr>
              <w:t>3%；</w:t>
            </w:r>
          </w:p>
          <w:p w14:paraId="7F1BFB16">
            <w:pPr>
              <w:pStyle w:val="26"/>
              <w:spacing w:after="80" w:line="240" w:lineRule="auto"/>
              <w:ind w:firstLine="220"/>
              <w:rPr>
                <w:rFonts w:hint="eastAsia"/>
                <w:highlight w:val="none"/>
              </w:rPr>
            </w:pPr>
            <w:r>
              <w:rPr>
                <w:rFonts w:hint="eastAsia"/>
                <w:highlight w:val="none"/>
                <w:lang w:eastAsia="zh-CN"/>
              </w:rPr>
              <w:t>（</w:t>
            </w:r>
            <w:r>
              <w:rPr>
                <w:rFonts w:hint="eastAsia"/>
                <w:highlight w:val="none"/>
              </w:rPr>
              <w:t>2）有完</w:t>
            </w:r>
            <w:r>
              <w:rPr>
                <w:rFonts w:hint="eastAsia"/>
                <w:highlight w:val="none"/>
                <w:lang w:val="en-US" w:eastAsia="zh-CN"/>
              </w:rPr>
              <w:t>整</w:t>
            </w:r>
            <w:r>
              <w:rPr>
                <w:rFonts w:hint="eastAsia"/>
                <w:highlight w:val="none"/>
              </w:rPr>
              <w:t>的林相</w:t>
            </w:r>
          </w:p>
        </w:tc>
        <w:tc>
          <w:tcPr>
            <w:tcW w:w="2078" w:type="dxa"/>
            <w:tcBorders>
              <w:top w:val="single" w:color="auto" w:sz="4" w:space="0"/>
              <w:left w:val="single" w:color="auto" w:sz="4" w:space="0"/>
            </w:tcBorders>
            <w:shd w:val="clear" w:color="auto" w:fill="FFFFFF"/>
            <w:noWrap w:val="0"/>
            <w:vAlign w:val="center"/>
          </w:tcPr>
          <w:p w14:paraId="24B7B38B">
            <w:pPr>
              <w:pStyle w:val="26"/>
              <w:spacing w:after="40" w:line="240" w:lineRule="auto"/>
              <w:ind w:firstLine="220"/>
              <w:jc w:val="left"/>
              <w:rPr>
                <w:rFonts w:hint="eastAsia"/>
                <w:highlight w:val="none"/>
              </w:rPr>
            </w:pPr>
            <w:r>
              <w:rPr>
                <w:rFonts w:hint="eastAsia"/>
                <w:highlight w:val="none"/>
              </w:rPr>
              <w:t>（1）死竹、枯竹、</w:t>
            </w:r>
          </w:p>
          <w:p w14:paraId="03B5F3EE">
            <w:pPr>
              <w:pStyle w:val="26"/>
              <w:spacing w:after="60" w:line="240" w:lineRule="auto"/>
              <w:ind w:firstLine="220"/>
              <w:rPr>
                <w:rFonts w:hint="eastAsia"/>
                <w:highlight w:val="none"/>
              </w:rPr>
            </w:pPr>
            <w:r>
              <w:rPr>
                <w:rFonts w:hint="eastAsia"/>
                <w:highlight w:val="none"/>
              </w:rPr>
              <w:t>破损竹</w:t>
            </w:r>
            <w:r>
              <w:rPr>
                <w:rFonts w:hint="eastAsia"/>
                <w:highlight w:val="none"/>
                <w:lang w:val="en-US" w:eastAsia="zh-CN"/>
              </w:rPr>
              <w:t>≤7</w:t>
            </w:r>
            <w:r>
              <w:rPr>
                <w:rFonts w:hint="eastAsia"/>
                <w:highlight w:val="none"/>
              </w:rPr>
              <w:t>%；</w:t>
            </w:r>
          </w:p>
          <w:p w14:paraId="0291B643">
            <w:pPr>
              <w:pStyle w:val="26"/>
              <w:spacing w:after="60" w:line="240" w:lineRule="auto"/>
              <w:ind w:firstLine="220"/>
              <w:rPr>
                <w:rFonts w:hint="eastAsia"/>
                <w:highlight w:val="none"/>
              </w:rPr>
            </w:pPr>
            <w:r>
              <w:rPr>
                <w:rFonts w:hint="eastAsia"/>
                <w:highlight w:val="none"/>
                <w:lang w:eastAsia="zh-CN"/>
              </w:rPr>
              <w:t>（</w:t>
            </w:r>
            <w:r>
              <w:rPr>
                <w:rFonts w:hint="eastAsia"/>
                <w:highlight w:val="none"/>
              </w:rPr>
              <w:t>2）有完</w:t>
            </w:r>
            <w:r>
              <w:rPr>
                <w:rFonts w:hint="eastAsia"/>
                <w:highlight w:val="none"/>
                <w:lang w:val="en-US" w:eastAsia="zh-CN"/>
              </w:rPr>
              <w:t>整</w:t>
            </w:r>
            <w:r>
              <w:rPr>
                <w:rFonts w:hint="eastAsia"/>
                <w:highlight w:val="none"/>
              </w:rPr>
              <w:t>的林相</w:t>
            </w:r>
          </w:p>
        </w:tc>
        <w:tc>
          <w:tcPr>
            <w:tcW w:w="2130" w:type="dxa"/>
            <w:tcBorders>
              <w:top w:val="single" w:color="auto" w:sz="4" w:space="0"/>
              <w:left w:val="single" w:color="auto" w:sz="4" w:space="0"/>
              <w:right w:val="single" w:color="auto" w:sz="4" w:space="0"/>
            </w:tcBorders>
            <w:shd w:val="clear" w:color="auto" w:fill="FFFFFF"/>
            <w:noWrap w:val="0"/>
            <w:vAlign w:val="center"/>
          </w:tcPr>
          <w:p w14:paraId="17EB2D99">
            <w:pPr>
              <w:pStyle w:val="26"/>
              <w:spacing w:after="40" w:line="240" w:lineRule="auto"/>
              <w:ind w:firstLine="220"/>
              <w:jc w:val="left"/>
              <w:rPr>
                <w:rFonts w:hint="eastAsia"/>
                <w:highlight w:val="none"/>
              </w:rPr>
            </w:pPr>
            <w:r>
              <w:rPr>
                <w:rFonts w:hint="eastAsia"/>
                <w:highlight w:val="none"/>
              </w:rPr>
              <w:t>（1）死竹、枯竹、</w:t>
            </w:r>
          </w:p>
          <w:p w14:paraId="54801602">
            <w:pPr>
              <w:pStyle w:val="26"/>
              <w:spacing w:after="60" w:line="240" w:lineRule="auto"/>
              <w:ind w:firstLine="220"/>
              <w:rPr>
                <w:rFonts w:hint="eastAsia"/>
                <w:highlight w:val="none"/>
              </w:rPr>
            </w:pPr>
            <w:r>
              <w:rPr>
                <w:rFonts w:hint="eastAsia"/>
                <w:highlight w:val="none"/>
              </w:rPr>
              <w:t>破损竹</w:t>
            </w:r>
            <w:r>
              <w:rPr>
                <w:rFonts w:hint="eastAsia"/>
                <w:highlight w:val="none"/>
                <w:lang w:val="en-US" w:eastAsia="zh-CN"/>
              </w:rPr>
              <w:t>≤10</w:t>
            </w:r>
            <w:r>
              <w:rPr>
                <w:rFonts w:hint="eastAsia"/>
                <w:highlight w:val="none"/>
              </w:rPr>
              <w:t>%；</w:t>
            </w:r>
          </w:p>
          <w:p w14:paraId="5B88920E">
            <w:pPr>
              <w:pStyle w:val="26"/>
              <w:tabs>
                <w:tab w:val="left" w:pos="595"/>
              </w:tabs>
              <w:spacing w:line="300" w:lineRule="exact"/>
              <w:ind w:firstLine="220"/>
              <w:rPr>
                <w:rFonts w:hint="eastAsia"/>
                <w:highlight w:val="none"/>
              </w:rPr>
            </w:pPr>
            <w:r>
              <w:rPr>
                <w:rFonts w:hint="eastAsia"/>
                <w:highlight w:val="none"/>
              </w:rPr>
              <w:t>（2）林相基本完整</w:t>
            </w:r>
          </w:p>
        </w:tc>
      </w:tr>
      <w:tr w14:paraId="36596BAB">
        <w:tblPrEx>
          <w:tblCellMar>
            <w:top w:w="0" w:type="dxa"/>
            <w:left w:w="10" w:type="dxa"/>
            <w:bottom w:w="0" w:type="dxa"/>
            <w:right w:w="10" w:type="dxa"/>
          </w:tblCellMar>
        </w:tblPrEx>
        <w:trPr>
          <w:trHeight w:val="2150" w:hRule="exact"/>
          <w:jc w:val="center"/>
        </w:trPr>
        <w:tc>
          <w:tcPr>
            <w:tcW w:w="450" w:type="dxa"/>
            <w:tcBorders>
              <w:top w:val="single" w:color="auto" w:sz="4" w:space="0"/>
              <w:left w:val="single" w:color="auto" w:sz="4" w:space="0"/>
            </w:tcBorders>
            <w:shd w:val="clear" w:color="auto" w:fill="FFFFFF"/>
            <w:noWrap w:val="0"/>
            <w:vAlign w:val="center"/>
          </w:tcPr>
          <w:p w14:paraId="7C9C7270">
            <w:pPr>
              <w:pStyle w:val="26"/>
              <w:spacing w:line="240" w:lineRule="auto"/>
              <w:ind w:firstLine="200" w:firstLineChars="100"/>
              <w:jc w:val="left"/>
              <w:rPr>
                <w:rFonts w:hint="eastAsia"/>
                <w:highlight w:val="none"/>
              </w:rPr>
            </w:pPr>
            <w:r>
              <w:rPr>
                <w:rFonts w:hint="eastAsia"/>
                <w:highlight w:val="none"/>
              </w:rPr>
              <w:t>2</w:t>
            </w:r>
          </w:p>
        </w:tc>
        <w:tc>
          <w:tcPr>
            <w:tcW w:w="814" w:type="dxa"/>
            <w:tcBorders>
              <w:top w:val="single" w:color="auto" w:sz="4" w:space="0"/>
              <w:left w:val="single" w:color="auto" w:sz="4" w:space="0"/>
            </w:tcBorders>
            <w:shd w:val="clear" w:color="auto" w:fill="FFFFFF"/>
            <w:noWrap w:val="0"/>
            <w:vAlign w:val="center"/>
          </w:tcPr>
          <w:p w14:paraId="46FF772F">
            <w:pPr>
              <w:pStyle w:val="26"/>
              <w:spacing w:line="240" w:lineRule="auto"/>
              <w:ind w:firstLine="200" w:firstLineChars="100"/>
              <w:jc w:val="left"/>
              <w:rPr>
                <w:rFonts w:hint="eastAsia"/>
                <w:highlight w:val="none"/>
                <w:lang w:eastAsia="zh-CN"/>
              </w:rPr>
            </w:pPr>
            <w:r>
              <w:rPr>
                <w:rFonts w:hint="eastAsia"/>
                <w:highlight w:val="none"/>
              </w:rPr>
              <w:t>生长</w:t>
            </w:r>
            <w:r>
              <w:rPr>
                <w:rFonts w:hint="eastAsia"/>
                <w:highlight w:val="none"/>
                <w:lang w:val="en-US" w:eastAsia="zh-CN"/>
              </w:rPr>
              <w:t>势</w:t>
            </w:r>
          </w:p>
        </w:tc>
        <w:tc>
          <w:tcPr>
            <w:tcW w:w="2326" w:type="dxa"/>
            <w:tcBorders>
              <w:top w:val="single" w:color="auto" w:sz="4" w:space="0"/>
              <w:left w:val="single" w:color="auto" w:sz="4" w:space="0"/>
            </w:tcBorders>
            <w:shd w:val="clear" w:color="auto" w:fill="FFFFFF"/>
            <w:noWrap w:val="0"/>
            <w:vAlign w:val="center"/>
          </w:tcPr>
          <w:p w14:paraId="1FA293AE">
            <w:pPr>
              <w:pStyle w:val="26"/>
              <w:spacing w:line="300" w:lineRule="exact"/>
              <w:ind w:firstLine="220"/>
              <w:rPr>
                <w:rFonts w:hint="eastAsia"/>
                <w:highlight w:val="none"/>
                <w:lang w:eastAsia="zh-CN"/>
              </w:rPr>
            </w:pPr>
            <w:r>
              <w:rPr>
                <w:rFonts w:hint="eastAsia"/>
                <w:highlight w:val="none"/>
                <w:lang w:eastAsia="zh-CN"/>
              </w:rPr>
              <w:t>（</w:t>
            </w:r>
            <w:r>
              <w:rPr>
                <w:rFonts w:hint="eastAsia"/>
                <w:highlight w:val="none"/>
              </w:rPr>
              <w:t>1）竹丛通风透光</w:t>
            </w:r>
            <w:r>
              <w:rPr>
                <w:rFonts w:hint="eastAsia"/>
                <w:highlight w:val="none"/>
                <w:lang w:eastAsia="zh-CN"/>
              </w:rPr>
              <w:t>，</w:t>
            </w:r>
            <w:r>
              <w:rPr>
                <w:rFonts w:hint="eastAsia"/>
                <w:highlight w:val="none"/>
              </w:rPr>
              <w:t>植株生长健壮</w:t>
            </w:r>
            <w:r>
              <w:rPr>
                <w:rFonts w:hint="eastAsia"/>
                <w:highlight w:val="none"/>
                <w:lang w:eastAsia="zh-CN"/>
              </w:rPr>
              <w:t>；</w:t>
            </w:r>
          </w:p>
          <w:p w14:paraId="6FD29664">
            <w:pPr>
              <w:pStyle w:val="26"/>
              <w:spacing w:line="330" w:lineRule="exact"/>
              <w:ind w:firstLine="220"/>
              <w:rPr>
                <w:rFonts w:hint="eastAsia"/>
                <w:highlight w:val="none"/>
              </w:rPr>
            </w:pPr>
            <w:r>
              <w:rPr>
                <w:rFonts w:hint="eastAsia"/>
                <w:highlight w:val="none"/>
                <w:lang w:eastAsia="zh-CN"/>
              </w:rPr>
              <w:t>（</w:t>
            </w:r>
            <w:r>
              <w:rPr>
                <w:rFonts w:hint="eastAsia"/>
                <w:highlight w:val="none"/>
              </w:rPr>
              <w:t>2）新、老</w:t>
            </w:r>
            <w:r>
              <w:rPr>
                <w:rFonts w:hint="eastAsia"/>
                <w:highlight w:val="none"/>
                <w:lang w:val="zh-CN" w:eastAsia="zh-CN" w:bidi="zh-CN"/>
              </w:rPr>
              <w:t>竹生</w:t>
            </w:r>
            <w:r>
              <w:rPr>
                <w:rFonts w:hint="eastAsia"/>
                <w:highlight w:val="none"/>
                <w:lang w:val="en-US" w:eastAsia="zh-CN" w:bidi="zh-CN"/>
              </w:rPr>
              <w:t>长</w:t>
            </w:r>
            <w:r>
              <w:rPr>
                <w:rFonts w:hint="eastAsia"/>
                <w:highlight w:val="none"/>
              </w:rPr>
              <w:t>比例</w:t>
            </w:r>
            <w:r>
              <w:rPr>
                <w:rFonts w:hint="eastAsia"/>
                <w:highlight w:val="none"/>
                <w:lang w:val="en-US" w:eastAsia="zh-CN" w:bidi="zh-CN"/>
              </w:rPr>
              <w:t>适当；</w:t>
            </w:r>
          </w:p>
          <w:p w14:paraId="7B1DD503">
            <w:pPr>
              <w:pStyle w:val="26"/>
              <w:spacing w:line="315" w:lineRule="exact"/>
              <w:ind w:firstLine="220"/>
              <w:rPr>
                <w:rFonts w:hint="eastAsia"/>
                <w:highlight w:val="none"/>
              </w:rPr>
            </w:pPr>
            <w:r>
              <w:rPr>
                <w:rFonts w:hint="eastAsia"/>
                <w:highlight w:val="none"/>
              </w:rPr>
              <w:t>（3）竹</w:t>
            </w:r>
            <w:r>
              <w:rPr>
                <w:rFonts w:hint="eastAsia"/>
                <w:highlight w:val="none"/>
                <w:lang w:val="en-US" w:eastAsia="zh-CN"/>
              </w:rPr>
              <w:t>鞭</w:t>
            </w:r>
            <w:r>
              <w:rPr>
                <w:rFonts w:hint="eastAsia"/>
                <w:highlight w:val="none"/>
              </w:rPr>
              <w:t>无裸露</w:t>
            </w:r>
          </w:p>
        </w:tc>
        <w:tc>
          <w:tcPr>
            <w:tcW w:w="2078" w:type="dxa"/>
            <w:tcBorders>
              <w:top w:val="single" w:color="auto" w:sz="4" w:space="0"/>
              <w:left w:val="single" w:color="auto" w:sz="4" w:space="0"/>
            </w:tcBorders>
            <w:shd w:val="clear" w:color="auto" w:fill="FFFFFF"/>
            <w:noWrap w:val="0"/>
            <w:vAlign w:val="top"/>
          </w:tcPr>
          <w:p w14:paraId="7E751BCB">
            <w:pPr>
              <w:pStyle w:val="26"/>
              <w:spacing w:line="300" w:lineRule="exact"/>
              <w:ind w:firstLine="220"/>
              <w:rPr>
                <w:rFonts w:hint="eastAsia"/>
                <w:highlight w:val="none"/>
                <w:lang w:eastAsia="zh-CN"/>
              </w:rPr>
            </w:pPr>
            <w:r>
              <w:rPr>
                <w:rFonts w:hint="eastAsia"/>
                <w:highlight w:val="none"/>
                <w:lang w:eastAsia="zh-CN"/>
              </w:rPr>
              <w:t>（</w:t>
            </w:r>
            <w:r>
              <w:rPr>
                <w:rFonts w:hint="eastAsia"/>
                <w:highlight w:val="none"/>
              </w:rPr>
              <w:t>1）竹丛通风透光</w:t>
            </w:r>
            <w:r>
              <w:rPr>
                <w:rFonts w:hint="eastAsia"/>
                <w:highlight w:val="none"/>
                <w:lang w:eastAsia="zh-CN"/>
              </w:rPr>
              <w:t>，</w:t>
            </w:r>
            <w:r>
              <w:rPr>
                <w:rFonts w:hint="eastAsia"/>
                <w:highlight w:val="none"/>
              </w:rPr>
              <w:t>植株生长</w:t>
            </w:r>
            <w:r>
              <w:rPr>
                <w:rFonts w:hint="eastAsia"/>
                <w:highlight w:val="none"/>
                <w:lang w:val="en-US" w:eastAsia="zh-CN"/>
              </w:rPr>
              <w:t>良好</w:t>
            </w:r>
            <w:r>
              <w:rPr>
                <w:rFonts w:hint="eastAsia"/>
                <w:highlight w:val="none"/>
                <w:lang w:eastAsia="zh-CN"/>
              </w:rPr>
              <w:t>；</w:t>
            </w:r>
          </w:p>
          <w:p w14:paraId="36C9D5DB">
            <w:pPr>
              <w:pStyle w:val="26"/>
              <w:spacing w:line="330" w:lineRule="exact"/>
              <w:ind w:firstLine="220"/>
              <w:rPr>
                <w:rFonts w:hint="eastAsia"/>
                <w:highlight w:val="none"/>
              </w:rPr>
            </w:pPr>
            <w:r>
              <w:rPr>
                <w:rFonts w:hint="eastAsia"/>
                <w:highlight w:val="none"/>
                <w:lang w:eastAsia="zh-CN"/>
              </w:rPr>
              <w:t>（</w:t>
            </w:r>
            <w:r>
              <w:rPr>
                <w:rFonts w:hint="eastAsia"/>
                <w:highlight w:val="none"/>
              </w:rPr>
              <w:t>2）新、老</w:t>
            </w:r>
            <w:r>
              <w:rPr>
                <w:rFonts w:hint="eastAsia"/>
                <w:highlight w:val="none"/>
                <w:lang w:val="zh-CN" w:eastAsia="zh-CN" w:bidi="zh-CN"/>
              </w:rPr>
              <w:t>竹生</w:t>
            </w:r>
            <w:r>
              <w:rPr>
                <w:rFonts w:hint="eastAsia"/>
                <w:highlight w:val="none"/>
                <w:lang w:val="en-US" w:eastAsia="zh-CN" w:bidi="zh-CN"/>
              </w:rPr>
              <w:t>长</w:t>
            </w:r>
            <w:r>
              <w:rPr>
                <w:rFonts w:hint="eastAsia"/>
                <w:highlight w:val="none"/>
              </w:rPr>
              <w:t>比例</w:t>
            </w:r>
            <w:r>
              <w:rPr>
                <w:rFonts w:hint="eastAsia"/>
                <w:highlight w:val="none"/>
                <w:lang w:val="en-US" w:eastAsia="zh-CN"/>
              </w:rPr>
              <w:t>基本</w:t>
            </w:r>
            <w:r>
              <w:rPr>
                <w:rFonts w:hint="eastAsia"/>
                <w:highlight w:val="none"/>
                <w:lang w:val="en-US" w:eastAsia="zh-CN" w:bidi="zh-CN"/>
              </w:rPr>
              <w:t>适当；</w:t>
            </w:r>
          </w:p>
          <w:p w14:paraId="57C11AA0">
            <w:pPr>
              <w:pStyle w:val="26"/>
              <w:spacing w:line="345" w:lineRule="exact"/>
              <w:ind w:firstLine="220"/>
              <w:rPr>
                <w:rFonts w:hint="eastAsia"/>
                <w:highlight w:val="none"/>
                <w:lang w:val="en-US" w:eastAsia="zh-CN"/>
              </w:rPr>
            </w:pPr>
            <w:r>
              <w:rPr>
                <w:rFonts w:hint="eastAsia"/>
                <w:highlight w:val="none"/>
              </w:rPr>
              <w:t>（3）竹</w:t>
            </w:r>
            <w:r>
              <w:rPr>
                <w:rFonts w:hint="eastAsia"/>
                <w:highlight w:val="none"/>
                <w:lang w:val="en-US" w:eastAsia="zh-CN"/>
              </w:rPr>
              <w:t>鞭基本</w:t>
            </w:r>
            <w:r>
              <w:rPr>
                <w:rFonts w:hint="eastAsia"/>
                <w:highlight w:val="none"/>
              </w:rPr>
              <w:t>无裸</w:t>
            </w:r>
            <w:r>
              <w:rPr>
                <w:rFonts w:hint="eastAsia"/>
                <w:highlight w:val="none"/>
                <w:lang w:val="en-US" w:eastAsia="zh-CN"/>
              </w:rPr>
              <w:t>露</w:t>
            </w:r>
          </w:p>
        </w:tc>
        <w:tc>
          <w:tcPr>
            <w:tcW w:w="2130" w:type="dxa"/>
            <w:tcBorders>
              <w:top w:val="single" w:color="auto" w:sz="4" w:space="0"/>
              <w:left w:val="single" w:color="auto" w:sz="4" w:space="0"/>
              <w:right w:val="single" w:color="auto" w:sz="4" w:space="0"/>
            </w:tcBorders>
            <w:shd w:val="clear" w:color="auto" w:fill="FFFFFF"/>
            <w:noWrap w:val="0"/>
            <w:vAlign w:val="center"/>
          </w:tcPr>
          <w:p w14:paraId="631308B0">
            <w:pPr>
              <w:pStyle w:val="26"/>
              <w:tabs>
                <w:tab w:val="left" w:pos="580"/>
              </w:tabs>
              <w:spacing w:after="40" w:line="240" w:lineRule="auto"/>
              <w:ind w:firstLine="220"/>
              <w:rPr>
                <w:rFonts w:hint="eastAsia"/>
                <w:highlight w:val="none"/>
              </w:rPr>
            </w:pPr>
            <w:r>
              <w:rPr>
                <w:rFonts w:hint="eastAsia"/>
                <w:highlight w:val="none"/>
              </w:rPr>
              <w:t>（1）植株生长良好:</w:t>
            </w:r>
          </w:p>
          <w:p w14:paraId="2814291A">
            <w:pPr>
              <w:pStyle w:val="26"/>
              <w:tabs>
                <w:tab w:val="left" w:pos="580"/>
              </w:tabs>
              <w:spacing w:line="240" w:lineRule="auto"/>
              <w:ind w:firstLine="220"/>
              <w:rPr>
                <w:rFonts w:hint="eastAsia"/>
                <w:highlight w:val="none"/>
              </w:rPr>
            </w:pPr>
            <w:r>
              <w:rPr>
                <w:rFonts w:hint="eastAsia"/>
                <w:highlight w:val="none"/>
              </w:rPr>
              <w:t>（2）竹鞭无明显裸露</w:t>
            </w:r>
          </w:p>
        </w:tc>
      </w:tr>
      <w:tr w14:paraId="1FB8D543">
        <w:tblPrEx>
          <w:tblCellMar>
            <w:top w:w="0" w:type="dxa"/>
            <w:left w:w="10" w:type="dxa"/>
            <w:bottom w:w="0" w:type="dxa"/>
            <w:right w:w="10" w:type="dxa"/>
          </w:tblCellMar>
        </w:tblPrEx>
        <w:trPr>
          <w:trHeight w:val="1587" w:hRule="exact"/>
          <w:jc w:val="center"/>
        </w:trPr>
        <w:tc>
          <w:tcPr>
            <w:tcW w:w="450" w:type="dxa"/>
            <w:tcBorders>
              <w:top w:val="single" w:color="auto" w:sz="4" w:space="0"/>
              <w:left w:val="single" w:color="auto" w:sz="4" w:space="0"/>
            </w:tcBorders>
            <w:shd w:val="clear" w:color="auto" w:fill="FFFFFF"/>
            <w:noWrap w:val="0"/>
            <w:vAlign w:val="center"/>
          </w:tcPr>
          <w:p w14:paraId="6E6FB8DB">
            <w:pPr>
              <w:pStyle w:val="26"/>
              <w:spacing w:line="240" w:lineRule="auto"/>
              <w:ind w:firstLine="200" w:firstLineChars="100"/>
              <w:jc w:val="left"/>
              <w:rPr>
                <w:rFonts w:hint="eastAsia"/>
                <w:highlight w:val="none"/>
              </w:rPr>
            </w:pPr>
            <w:r>
              <w:rPr>
                <w:rFonts w:hint="eastAsia"/>
                <w:highlight w:val="none"/>
              </w:rPr>
              <w:t>3</w:t>
            </w:r>
          </w:p>
        </w:tc>
        <w:tc>
          <w:tcPr>
            <w:tcW w:w="814" w:type="dxa"/>
            <w:tcBorders>
              <w:top w:val="single" w:color="auto" w:sz="4" w:space="0"/>
              <w:left w:val="single" w:color="auto" w:sz="4" w:space="0"/>
            </w:tcBorders>
            <w:shd w:val="clear" w:color="auto" w:fill="FFFFFF"/>
            <w:noWrap w:val="0"/>
            <w:vAlign w:val="center"/>
          </w:tcPr>
          <w:p w14:paraId="2230B90C">
            <w:pPr>
              <w:pStyle w:val="26"/>
              <w:spacing w:line="240" w:lineRule="auto"/>
              <w:ind w:firstLine="200"/>
              <w:jc w:val="left"/>
              <w:rPr>
                <w:rFonts w:hint="eastAsia"/>
                <w:highlight w:val="none"/>
                <w:lang w:eastAsia="zh-CN"/>
              </w:rPr>
            </w:pPr>
            <w:r>
              <w:rPr>
                <w:rFonts w:hint="eastAsia"/>
                <w:highlight w:val="none"/>
              </w:rPr>
              <w:t>排</w:t>
            </w:r>
            <w:r>
              <w:rPr>
                <w:rFonts w:hint="eastAsia"/>
                <w:highlight w:val="none"/>
                <w:lang w:val="en-US" w:eastAsia="zh-CN"/>
              </w:rPr>
              <w:t>灌</w:t>
            </w:r>
          </w:p>
        </w:tc>
        <w:tc>
          <w:tcPr>
            <w:tcW w:w="2326" w:type="dxa"/>
            <w:tcBorders>
              <w:top w:val="single" w:color="auto" w:sz="4" w:space="0"/>
              <w:left w:val="single" w:color="auto" w:sz="4" w:space="0"/>
            </w:tcBorders>
            <w:shd w:val="clear" w:color="auto" w:fill="FFFFFF"/>
            <w:noWrap w:val="0"/>
            <w:vAlign w:val="center"/>
          </w:tcPr>
          <w:p w14:paraId="23EE1072">
            <w:pPr>
              <w:pStyle w:val="26"/>
              <w:spacing w:line="315" w:lineRule="exact"/>
              <w:ind w:firstLine="220"/>
              <w:rPr>
                <w:rFonts w:hint="eastAsia"/>
                <w:highlight w:val="none"/>
              </w:rPr>
            </w:pPr>
            <w:r>
              <w:rPr>
                <w:rFonts w:hint="eastAsia"/>
                <w:highlight w:val="none"/>
                <w:lang w:val="en-US" w:eastAsia="zh-CN"/>
              </w:rPr>
              <w:t>(</w:t>
            </w:r>
            <w:r>
              <w:rPr>
                <w:rFonts w:hint="eastAsia"/>
                <w:highlight w:val="none"/>
              </w:rPr>
              <w:t>1）</w:t>
            </w:r>
            <w:r>
              <w:rPr>
                <w:rFonts w:hint="eastAsia"/>
                <w:highlight w:val="none"/>
                <w:lang w:val="en-US" w:eastAsia="zh-CN"/>
              </w:rPr>
              <w:t>暴</w:t>
            </w:r>
            <w:r>
              <w:rPr>
                <w:rFonts w:hint="eastAsia"/>
                <w:highlight w:val="none"/>
              </w:rPr>
              <w:t>雨后</w:t>
            </w:r>
            <w:r>
              <w:rPr>
                <w:rFonts w:hint="eastAsia"/>
                <w:highlight w:val="none"/>
                <w:lang w:val="en-US" w:eastAsia="zh-CN" w:bidi="en-US"/>
              </w:rPr>
              <w:t>0.5d</w:t>
            </w:r>
            <w:r>
              <w:rPr>
                <w:rFonts w:hint="eastAsia"/>
                <w:highlight w:val="none"/>
              </w:rPr>
              <w:t>内无</w:t>
            </w:r>
            <w:r>
              <w:rPr>
                <w:rFonts w:hint="eastAsia"/>
                <w:highlight w:val="none"/>
                <w:lang w:val="en-US" w:eastAsia="zh-CN"/>
              </w:rPr>
              <w:t>积水；</w:t>
            </w:r>
          </w:p>
          <w:p w14:paraId="6A60F8EF">
            <w:pPr>
              <w:pStyle w:val="26"/>
              <w:spacing w:line="315" w:lineRule="exact"/>
              <w:ind w:firstLine="220"/>
              <w:rPr>
                <w:rFonts w:hint="eastAsia"/>
                <w:highlight w:val="none"/>
              </w:rPr>
            </w:pPr>
            <w:r>
              <w:rPr>
                <w:rFonts w:hint="eastAsia"/>
                <w:highlight w:val="none"/>
                <w:lang w:eastAsia="zh-CN"/>
              </w:rPr>
              <w:t>（</w:t>
            </w:r>
            <w:r>
              <w:rPr>
                <w:rFonts w:hint="eastAsia"/>
                <w:highlight w:val="none"/>
              </w:rPr>
              <w:t>2）植株无失水萎</w:t>
            </w:r>
            <w:r>
              <w:rPr>
                <w:rFonts w:hint="eastAsia"/>
                <w:highlight w:val="none"/>
                <w:lang w:val="en-US" w:eastAsia="zh-CN"/>
              </w:rPr>
              <w:t>蔫</w:t>
            </w:r>
            <w:r>
              <w:rPr>
                <w:rFonts w:hint="eastAsia"/>
                <w:highlight w:val="none"/>
              </w:rPr>
              <w:t>现象</w:t>
            </w:r>
          </w:p>
        </w:tc>
        <w:tc>
          <w:tcPr>
            <w:tcW w:w="2078" w:type="dxa"/>
            <w:tcBorders>
              <w:top w:val="single" w:color="auto" w:sz="4" w:space="0"/>
              <w:left w:val="single" w:color="auto" w:sz="4" w:space="0"/>
            </w:tcBorders>
            <w:shd w:val="clear" w:color="auto" w:fill="FFFFFF"/>
            <w:noWrap w:val="0"/>
            <w:vAlign w:val="center"/>
          </w:tcPr>
          <w:p w14:paraId="6CD55EFF">
            <w:pPr>
              <w:pStyle w:val="26"/>
              <w:spacing w:line="315" w:lineRule="exact"/>
              <w:ind w:firstLine="220"/>
              <w:rPr>
                <w:rFonts w:hint="eastAsia"/>
                <w:highlight w:val="none"/>
              </w:rPr>
            </w:pPr>
            <w:r>
              <w:rPr>
                <w:rFonts w:hint="eastAsia"/>
                <w:highlight w:val="none"/>
                <w:lang w:eastAsia="zh-CN"/>
              </w:rPr>
              <w:t>（</w:t>
            </w:r>
            <w:r>
              <w:rPr>
                <w:rFonts w:hint="eastAsia"/>
                <w:highlight w:val="none"/>
              </w:rPr>
              <w:t>1）</w:t>
            </w:r>
            <w:r>
              <w:rPr>
                <w:rFonts w:hint="eastAsia"/>
                <w:highlight w:val="none"/>
                <w:lang w:val="en-US" w:eastAsia="zh-CN"/>
              </w:rPr>
              <w:t>暴</w:t>
            </w:r>
            <w:r>
              <w:rPr>
                <w:rFonts w:hint="eastAsia"/>
                <w:highlight w:val="none"/>
              </w:rPr>
              <w:t>雨后</w:t>
            </w:r>
            <w:r>
              <w:rPr>
                <w:rFonts w:hint="eastAsia"/>
                <w:highlight w:val="none"/>
                <w:lang w:val="en-US" w:eastAsia="zh-CN" w:bidi="en-US"/>
              </w:rPr>
              <w:t>0.5d</w:t>
            </w:r>
            <w:r>
              <w:rPr>
                <w:rFonts w:hint="eastAsia"/>
                <w:highlight w:val="none"/>
              </w:rPr>
              <w:t>内无</w:t>
            </w:r>
            <w:r>
              <w:rPr>
                <w:rFonts w:hint="eastAsia"/>
                <w:highlight w:val="none"/>
                <w:lang w:val="en-US" w:eastAsia="zh-CN"/>
              </w:rPr>
              <w:t>积水；</w:t>
            </w:r>
          </w:p>
          <w:p w14:paraId="114C75BF">
            <w:pPr>
              <w:pStyle w:val="26"/>
              <w:tabs>
                <w:tab w:val="left" w:pos="570"/>
              </w:tabs>
              <w:spacing w:line="315" w:lineRule="exact"/>
              <w:ind w:firstLine="220"/>
              <w:rPr>
                <w:rFonts w:hint="eastAsia"/>
                <w:highlight w:val="none"/>
              </w:rPr>
            </w:pPr>
            <w:r>
              <w:rPr>
                <w:rFonts w:hint="eastAsia"/>
                <w:highlight w:val="none"/>
                <w:lang w:eastAsia="zh-CN"/>
              </w:rPr>
              <w:t>（</w:t>
            </w:r>
            <w:r>
              <w:rPr>
                <w:rFonts w:hint="eastAsia"/>
                <w:highlight w:val="none"/>
              </w:rPr>
              <w:t>2）植株</w:t>
            </w:r>
            <w:r>
              <w:rPr>
                <w:rFonts w:hint="eastAsia"/>
                <w:highlight w:val="none"/>
                <w:lang w:val="en-US" w:eastAsia="zh-CN"/>
              </w:rPr>
              <w:t>基本</w:t>
            </w:r>
            <w:r>
              <w:rPr>
                <w:rFonts w:hint="eastAsia"/>
                <w:highlight w:val="none"/>
              </w:rPr>
              <w:t>无失水萎</w:t>
            </w:r>
            <w:r>
              <w:rPr>
                <w:rFonts w:hint="eastAsia"/>
                <w:highlight w:val="none"/>
                <w:lang w:val="en-US" w:eastAsia="zh-CN"/>
              </w:rPr>
              <w:t>蔫</w:t>
            </w:r>
            <w:r>
              <w:rPr>
                <w:rFonts w:hint="eastAsia"/>
                <w:highlight w:val="none"/>
              </w:rPr>
              <w:t>现象</w:t>
            </w:r>
          </w:p>
        </w:tc>
        <w:tc>
          <w:tcPr>
            <w:tcW w:w="2130" w:type="dxa"/>
            <w:tcBorders>
              <w:top w:val="single" w:color="auto" w:sz="4" w:space="0"/>
              <w:left w:val="single" w:color="auto" w:sz="4" w:space="0"/>
              <w:right w:val="single" w:color="auto" w:sz="4" w:space="0"/>
            </w:tcBorders>
            <w:shd w:val="clear" w:color="auto" w:fill="FFFFFF"/>
            <w:noWrap w:val="0"/>
            <w:vAlign w:val="center"/>
          </w:tcPr>
          <w:p w14:paraId="6F3C9430">
            <w:pPr>
              <w:pStyle w:val="26"/>
              <w:spacing w:line="315" w:lineRule="exact"/>
              <w:ind w:firstLine="220"/>
              <w:rPr>
                <w:rFonts w:hint="eastAsia"/>
                <w:highlight w:val="none"/>
              </w:rPr>
            </w:pPr>
            <w:r>
              <w:rPr>
                <w:rFonts w:hint="eastAsia"/>
                <w:highlight w:val="none"/>
                <w:lang w:eastAsia="zh-CN"/>
              </w:rPr>
              <w:t>（</w:t>
            </w:r>
            <w:r>
              <w:rPr>
                <w:rFonts w:hint="eastAsia"/>
                <w:highlight w:val="none"/>
              </w:rPr>
              <w:t>1）</w:t>
            </w:r>
            <w:r>
              <w:rPr>
                <w:rFonts w:hint="eastAsia"/>
                <w:highlight w:val="none"/>
                <w:lang w:val="en-US" w:eastAsia="zh-CN"/>
              </w:rPr>
              <w:t>暴</w:t>
            </w:r>
            <w:r>
              <w:rPr>
                <w:rFonts w:hint="eastAsia"/>
                <w:highlight w:val="none"/>
              </w:rPr>
              <w:t>雨后</w:t>
            </w:r>
            <w:r>
              <w:rPr>
                <w:rFonts w:hint="eastAsia"/>
                <w:highlight w:val="none"/>
                <w:lang w:val="en-US" w:eastAsia="zh-CN" w:bidi="en-US"/>
              </w:rPr>
              <w:t>2d</w:t>
            </w:r>
            <w:r>
              <w:rPr>
                <w:rFonts w:hint="eastAsia"/>
                <w:highlight w:val="none"/>
              </w:rPr>
              <w:t>内无</w:t>
            </w:r>
            <w:r>
              <w:rPr>
                <w:rFonts w:hint="eastAsia"/>
                <w:highlight w:val="none"/>
                <w:lang w:val="en-US" w:eastAsia="zh-CN"/>
              </w:rPr>
              <w:t>积水；</w:t>
            </w:r>
          </w:p>
          <w:p w14:paraId="1BA70495">
            <w:pPr>
              <w:pStyle w:val="26"/>
              <w:spacing w:line="307" w:lineRule="exact"/>
              <w:ind w:firstLine="220"/>
              <w:rPr>
                <w:rFonts w:hint="eastAsia"/>
                <w:highlight w:val="none"/>
                <w:lang w:val="en-US"/>
              </w:rPr>
            </w:pPr>
            <w:r>
              <w:rPr>
                <w:rFonts w:hint="eastAsia"/>
                <w:highlight w:val="none"/>
                <w:lang w:eastAsia="zh-CN"/>
              </w:rPr>
              <w:t>（</w:t>
            </w:r>
            <w:r>
              <w:rPr>
                <w:rFonts w:hint="eastAsia"/>
                <w:highlight w:val="none"/>
              </w:rPr>
              <w:t>2）植株</w:t>
            </w:r>
            <w:r>
              <w:rPr>
                <w:rFonts w:hint="eastAsia"/>
                <w:highlight w:val="none"/>
                <w:lang w:val="en-US" w:eastAsia="zh-CN"/>
              </w:rPr>
              <w:t>失水萎蔫现象1d-2d内消除</w:t>
            </w:r>
          </w:p>
        </w:tc>
      </w:tr>
      <w:tr w14:paraId="03253FA2">
        <w:tblPrEx>
          <w:tblCellMar>
            <w:top w:w="0" w:type="dxa"/>
            <w:left w:w="10" w:type="dxa"/>
            <w:bottom w:w="0" w:type="dxa"/>
            <w:right w:w="10" w:type="dxa"/>
          </w:tblCellMar>
        </w:tblPrEx>
        <w:trPr>
          <w:trHeight w:val="2444" w:hRule="exact"/>
          <w:jc w:val="center"/>
        </w:trPr>
        <w:tc>
          <w:tcPr>
            <w:tcW w:w="450" w:type="dxa"/>
            <w:tcBorders>
              <w:top w:val="single" w:color="auto" w:sz="4" w:space="0"/>
              <w:left w:val="single" w:color="auto" w:sz="4" w:space="0"/>
            </w:tcBorders>
            <w:shd w:val="clear" w:color="auto" w:fill="FFFFFF"/>
            <w:noWrap w:val="0"/>
            <w:vAlign w:val="center"/>
          </w:tcPr>
          <w:p w14:paraId="44574E70">
            <w:pPr>
              <w:pStyle w:val="26"/>
              <w:spacing w:line="240" w:lineRule="auto"/>
              <w:ind w:firstLine="200" w:firstLineChars="100"/>
              <w:jc w:val="left"/>
              <w:rPr>
                <w:rFonts w:hint="eastAsia"/>
                <w:highlight w:val="none"/>
                <w:lang w:val="en-US" w:eastAsia="zh-CN"/>
              </w:rPr>
            </w:pPr>
            <w:r>
              <w:rPr>
                <w:rFonts w:hint="eastAsia"/>
                <w:highlight w:val="none"/>
                <w:lang w:val="en-US" w:eastAsia="zh-CN"/>
              </w:rPr>
              <w:t>4</w:t>
            </w:r>
          </w:p>
        </w:tc>
        <w:tc>
          <w:tcPr>
            <w:tcW w:w="814" w:type="dxa"/>
            <w:tcBorders>
              <w:top w:val="single" w:color="auto" w:sz="4" w:space="0"/>
              <w:left w:val="single" w:color="auto" w:sz="4" w:space="0"/>
            </w:tcBorders>
            <w:shd w:val="clear" w:color="auto" w:fill="FFFFFF"/>
            <w:noWrap w:val="0"/>
            <w:vAlign w:val="center"/>
          </w:tcPr>
          <w:p w14:paraId="6CAB1081">
            <w:pPr>
              <w:pStyle w:val="26"/>
              <w:spacing w:after="100" w:line="240" w:lineRule="auto"/>
              <w:ind w:firstLine="200" w:firstLineChars="100"/>
              <w:jc w:val="left"/>
              <w:rPr>
                <w:rFonts w:hint="eastAsia"/>
                <w:highlight w:val="none"/>
              </w:rPr>
            </w:pPr>
            <w:r>
              <w:rPr>
                <w:rFonts w:hint="eastAsia"/>
                <w:highlight w:val="none"/>
              </w:rPr>
              <w:t>病虫害</w:t>
            </w:r>
          </w:p>
          <w:p w14:paraId="6EA92439">
            <w:pPr>
              <w:pStyle w:val="26"/>
              <w:spacing w:line="240" w:lineRule="auto"/>
              <w:ind w:firstLine="200" w:firstLineChars="100"/>
              <w:jc w:val="left"/>
              <w:rPr>
                <w:rFonts w:hint="eastAsia"/>
                <w:highlight w:val="none"/>
              </w:rPr>
            </w:pPr>
            <w:r>
              <w:rPr>
                <w:rFonts w:hint="eastAsia"/>
                <w:highlight w:val="none"/>
              </w:rPr>
              <w:t>情况</w:t>
            </w:r>
          </w:p>
        </w:tc>
        <w:tc>
          <w:tcPr>
            <w:tcW w:w="2326" w:type="dxa"/>
            <w:tcBorders>
              <w:top w:val="single" w:color="auto" w:sz="4" w:space="0"/>
              <w:left w:val="single" w:color="auto" w:sz="4" w:space="0"/>
            </w:tcBorders>
            <w:shd w:val="clear" w:color="auto" w:fill="FFFFFF"/>
            <w:noWrap w:val="0"/>
            <w:vAlign w:val="center"/>
          </w:tcPr>
          <w:p w14:paraId="543DCA33">
            <w:pPr>
              <w:pStyle w:val="26"/>
              <w:tabs>
                <w:tab w:val="left" w:pos="585"/>
              </w:tabs>
              <w:spacing w:line="315" w:lineRule="exact"/>
              <w:rPr>
                <w:rFonts w:hint="eastAsia"/>
                <w:highlight w:val="none"/>
              </w:rPr>
            </w:pPr>
            <w:r>
              <w:rPr>
                <w:rFonts w:hint="eastAsia"/>
                <w:highlight w:val="none"/>
              </w:rPr>
              <w:t>（1）基本无有害生物危害状；</w:t>
            </w:r>
          </w:p>
          <w:p w14:paraId="1FB38FEB">
            <w:pPr>
              <w:pStyle w:val="26"/>
              <w:tabs>
                <w:tab w:val="left" w:pos="655"/>
              </w:tabs>
              <w:spacing w:after="280" w:line="315" w:lineRule="exact"/>
              <w:rPr>
                <w:rFonts w:hint="eastAsia"/>
                <w:highlight w:val="none"/>
                <w:lang w:val="en-US" w:eastAsia="zh-CN"/>
              </w:rPr>
            </w:pPr>
            <w:r>
              <w:rPr>
                <w:rFonts w:hint="eastAsia"/>
                <w:highlight w:val="none"/>
              </w:rPr>
              <w:t>（2）竹叶受害</w:t>
            </w:r>
            <w:r>
              <w:rPr>
                <w:rFonts w:hint="eastAsia"/>
                <w:highlight w:val="none"/>
                <w:lang w:val="en-US" w:eastAsia="zh-CN"/>
              </w:rPr>
              <w:t>率≤8％</w:t>
            </w:r>
          </w:p>
          <w:p w14:paraId="105CA56F">
            <w:pPr>
              <w:pStyle w:val="26"/>
              <w:tabs>
                <w:tab w:val="left" w:pos="655"/>
              </w:tabs>
              <w:spacing w:after="280" w:line="315" w:lineRule="exact"/>
              <w:rPr>
                <w:rFonts w:hint="eastAsia"/>
                <w:highlight w:val="none"/>
              </w:rPr>
            </w:pPr>
            <w:r>
              <w:rPr>
                <w:rFonts w:hint="eastAsia"/>
                <w:highlight w:val="none"/>
              </w:rPr>
              <w:t>（3）竹</w:t>
            </w:r>
            <w:r>
              <w:rPr>
                <w:rFonts w:hint="eastAsia"/>
                <w:highlight w:val="none"/>
                <w:lang w:val="en-US" w:eastAsia="zh-CN"/>
              </w:rPr>
              <w:t>梢、</w:t>
            </w:r>
            <w:r>
              <w:rPr>
                <w:rFonts w:hint="eastAsia"/>
                <w:highlight w:val="none"/>
              </w:rPr>
              <w:t>竹杆受 害率</w:t>
            </w:r>
            <w:r>
              <w:rPr>
                <w:rFonts w:hint="eastAsia"/>
                <w:highlight w:val="none"/>
                <w:lang w:val="en-US" w:eastAsia="zh-CN"/>
              </w:rPr>
              <w:t>≤5</w:t>
            </w:r>
            <w:r>
              <w:rPr>
                <w:rFonts w:hint="eastAsia"/>
                <w:highlight w:val="none"/>
                <w:lang w:val="en-US" w:eastAsia="zh-CN" w:bidi="en-US"/>
              </w:rPr>
              <w:t>%</w:t>
            </w:r>
          </w:p>
        </w:tc>
        <w:tc>
          <w:tcPr>
            <w:tcW w:w="2078" w:type="dxa"/>
            <w:tcBorders>
              <w:top w:val="single" w:color="auto" w:sz="4" w:space="0"/>
              <w:left w:val="single" w:color="auto" w:sz="4" w:space="0"/>
            </w:tcBorders>
            <w:shd w:val="clear" w:color="auto" w:fill="FFFFFF"/>
            <w:noWrap w:val="0"/>
            <w:vAlign w:val="center"/>
          </w:tcPr>
          <w:p w14:paraId="6A7B5100">
            <w:pPr>
              <w:pStyle w:val="26"/>
              <w:tabs>
                <w:tab w:val="left" w:pos="585"/>
              </w:tabs>
              <w:spacing w:line="315" w:lineRule="exact"/>
              <w:rPr>
                <w:rFonts w:hint="eastAsia"/>
                <w:highlight w:val="none"/>
              </w:rPr>
            </w:pPr>
            <w:r>
              <w:rPr>
                <w:rFonts w:hint="eastAsia"/>
                <w:highlight w:val="none"/>
              </w:rPr>
              <w:t>（1）</w:t>
            </w:r>
            <w:r>
              <w:rPr>
                <w:rFonts w:hint="eastAsia"/>
                <w:highlight w:val="none"/>
                <w:lang w:val="en-US" w:eastAsia="zh-CN"/>
              </w:rPr>
              <w:t>无明显</w:t>
            </w:r>
            <w:r>
              <w:rPr>
                <w:rFonts w:hint="eastAsia"/>
                <w:highlight w:val="none"/>
              </w:rPr>
              <w:t>有害生物危害状；</w:t>
            </w:r>
          </w:p>
          <w:p w14:paraId="6DB4418D">
            <w:pPr>
              <w:pStyle w:val="26"/>
              <w:tabs>
                <w:tab w:val="left" w:pos="655"/>
              </w:tabs>
              <w:spacing w:after="280" w:line="315" w:lineRule="exact"/>
              <w:rPr>
                <w:rFonts w:hint="eastAsia"/>
                <w:highlight w:val="none"/>
                <w:lang w:val="en-US" w:eastAsia="zh-CN"/>
              </w:rPr>
            </w:pPr>
            <w:r>
              <w:rPr>
                <w:rFonts w:hint="eastAsia"/>
                <w:highlight w:val="none"/>
              </w:rPr>
              <w:t>（2竹叶受害</w:t>
            </w:r>
            <w:r>
              <w:rPr>
                <w:rFonts w:hint="eastAsia"/>
                <w:highlight w:val="none"/>
                <w:lang w:val="en-US" w:eastAsia="zh-CN"/>
              </w:rPr>
              <w:t>率≤10％</w:t>
            </w:r>
          </w:p>
          <w:p w14:paraId="7D1488F6">
            <w:pPr>
              <w:pStyle w:val="26"/>
              <w:spacing w:line="307" w:lineRule="exact"/>
              <w:rPr>
                <w:rFonts w:hint="eastAsia"/>
                <w:highlight w:val="none"/>
              </w:rPr>
            </w:pPr>
            <w:r>
              <w:rPr>
                <w:rFonts w:hint="eastAsia"/>
                <w:highlight w:val="none"/>
              </w:rPr>
              <w:t>（3）竹</w:t>
            </w:r>
            <w:r>
              <w:rPr>
                <w:rFonts w:hint="eastAsia"/>
                <w:highlight w:val="none"/>
                <w:lang w:val="en-US" w:eastAsia="zh-CN"/>
              </w:rPr>
              <w:t>梢、</w:t>
            </w:r>
            <w:r>
              <w:rPr>
                <w:rFonts w:hint="eastAsia"/>
                <w:highlight w:val="none"/>
              </w:rPr>
              <w:t>竹杆受 害率</w:t>
            </w:r>
            <w:r>
              <w:rPr>
                <w:rFonts w:hint="eastAsia"/>
                <w:highlight w:val="none"/>
                <w:lang w:val="en-US" w:eastAsia="zh-CN"/>
              </w:rPr>
              <w:t>≤8</w:t>
            </w:r>
            <w:r>
              <w:rPr>
                <w:rFonts w:hint="eastAsia"/>
                <w:highlight w:val="none"/>
                <w:lang w:val="en-US" w:eastAsia="zh-CN" w:bidi="en-US"/>
              </w:rPr>
              <w:t>%</w:t>
            </w:r>
          </w:p>
        </w:tc>
        <w:tc>
          <w:tcPr>
            <w:tcW w:w="2130" w:type="dxa"/>
            <w:tcBorders>
              <w:top w:val="single" w:color="auto" w:sz="4" w:space="0"/>
              <w:left w:val="single" w:color="auto" w:sz="4" w:space="0"/>
              <w:right w:val="single" w:color="auto" w:sz="4" w:space="0"/>
            </w:tcBorders>
            <w:shd w:val="clear" w:color="auto" w:fill="FFFFFF"/>
            <w:noWrap w:val="0"/>
            <w:vAlign w:val="center"/>
          </w:tcPr>
          <w:p w14:paraId="244D87C0">
            <w:pPr>
              <w:pStyle w:val="26"/>
              <w:tabs>
                <w:tab w:val="left" w:pos="585"/>
              </w:tabs>
              <w:spacing w:line="315" w:lineRule="exact"/>
              <w:rPr>
                <w:rFonts w:hint="eastAsia"/>
                <w:highlight w:val="none"/>
              </w:rPr>
            </w:pPr>
            <w:r>
              <w:rPr>
                <w:rFonts w:hint="eastAsia"/>
                <w:highlight w:val="none"/>
              </w:rPr>
              <w:t>（1）</w:t>
            </w:r>
            <w:r>
              <w:rPr>
                <w:rFonts w:hint="eastAsia"/>
                <w:highlight w:val="none"/>
                <w:lang w:val="en-US" w:eastAsia="zh-CN"/>
              </w:rPr>
              <w:t>无严重</w:t>
            </w:r>
            <w:r>
              <w:rPr>
                <w:rFonts w:hint="eastAsia"/>
                <w:highlight w:val="none"/>
              </w:rPr>
              <w:t>有害生物危害状；</w:t>
            </w:r>
          </w:p>
          <w:p w14:paraId="795B6544">
            <w:pPr>
              <w:pStyle w:val="26"/>
              <w:tabs>
                <w:tab w:val="left" w:pos="655"/>
              </w:tabs>
              <w:spacing w:after="280" w:line="315" w:lineRule="exact"/>
              <w:rPr>
                <w:rFonts w:hint="eastAsia"/>
                <w:highlight w:val="none"/>
                <w:lang w:val="en-US" w:eastAsia="zh-CN"/>
              </w:rPr>
            </w:pPr>
            <w:r>
              <w:rPr>
                <w:rFonts w:hint="eastAsia"/>
                <w:highlight w:val="none"/>
              </w:rPr>
              <w:t>（2）竹叶受害</w:t>
            </w:r>
            <w:r>
              <w:rPr>
                <w:rFonts w:hint="eastAsia"/>
                <w:highlight w:val="none"/>
                <w:lang w:val="en-US" w:eastAsia="zh-CN"/>
              </w:rPr>
              <w:t>率≤15％</w:t>
            </w:r>
          </w:p>
          <w:p w14:paraId="46971C73">
            <w:pPr>
              <w:pStyle w:val="26"/>
              <w:spacing w:line="315" w:lineRule="exact"/>
              <w:rPr>
                <w:rFonts w:hint="eastAsia"/>
                <w:highlight w:val="none"/>
              </w:rPr>
            </w:pPr>
            <w:r>
              <w:rPr>
                <w:rFonts w:hint="eastAsia"/>
                <w:highlight w:val="none"/>
              </w:rPr>
              <w:t>（3）竹</w:t>
            </w:r>
            <w:r>
              <w:rPr>
                <w:rFonts w:hint="eastAsia"/>
                <w:highlight w:val="none"/>
                <w:lang w:val="en-US" w:eastAsia="zh-CN"/>
              </w:rPr>
              <w:t>梢、</w:t>
            </w:r>
            <w:r>
              <w:rPr>
                <w:rFonts w:hint="eastAsia"/>
                <w:highlight w:val="none"/>
              </w:rPr>
              <w:t>竹杆受 害率</w:t>
            </w:r>
            <w:r>
              <w:rPr>
                <w:rFonts w:hint="eastAsia"/>
                <w:highlight w:val="none"/>
                <w:lang w:val="en-US" w:eastAsia="zh-CN"/>
              </w:rPr>
              <w:t>≤10</w:t>
            </w:r>
            <w:r>
              <w:rPr>
                <w:rFonts w:hint="eastAsia"/>
                <w:highlight w:val="none"/>
                <w:lang w:val="en-US" w:eastAsia="zh-CN" w:bidi="en-US"/>
              </w:rPr>
              <w:t>%</w:t>
            </w:r>
          </w:p>
        </w:tc>
      </w:tr>
      <w:tr w14:paraId="5F544E91">
        <w:tblPrEx>
          <w:tblCellMar>
            <w:top w:w="0" w:type="dxa"/>
            <w:left w:w="10" w:type="dxa"/>
            <w:bottom w:w="0" w:type="dxa"/>
            <w:right w:w="10" w:type="dxa"/>
          </w:tblCellMar>
        </w:tblPrEx>
        <w:trPr>
          <w:trHeight w:val="928" w:hRule="exact"/>
          <w:jc w:val="center"/>
        </w:trPr>
        <w:tc>
          <w:tcPr>
            <w:tcW w:w="450" w:type="dxa"/>
            <w:tcBorders>
              <w:top w:val="single" w:color="auto" w:sz="4" w:space="0"/>
              <w:left w:val="single" w:color="auto" w:sz="4" w:space="0"/>
              <w:bottom w:val="single" w:color="auto" w:sz="4" w:space="0"/>
            </w:tcBorders>
            <w:shd w:val="clear" w:color="auto" w:fill="FFFFFF"/>
            <w:noWrap w:val="0"/>
            <w:vAlign w:val="center"/>
          </w:tcPr>
          <w:p w14:paraId="11A486C5">
            <w:pPr>
              <w:pStyle w:val="26"/>
              <w:spacing w:line="240" w:lineRule="auto"/>
              <w:ind w:firstLine="200" w:firstLineChars="100"/>
              <w:jc w:val="left"/>
              <w:rPr>
                <w:rFonts w:hint="eastAsia"/>
                <w:highlight w:val="none"/>
              </w:rPr>
            </w:pPr>
            <w:r>
              <w:rPr>
                <w:rFonts w:hint="eastAsia"/>
                <w:highlight w:val="none"/>
              </w:rPr>
              <w:t>5</w:t>
            </w:r>
          </w:p>
        </w:tc>
        <w:tc>
          <w:tcPr>
            <w:tcW w:w="814" w:type="dxa"/>
            <w:tcBorders>
              <w:top w:val="single" w:color="auto" w:sz="4" w:space="0"/>
              <w:left w:val="single" w:color="auto" w:sz="4" w:space="0"/>
              <w:bottom w:val="single" w:color="auto" w:sz="4" w:space="0"/>
            </w:tcBorders>
            <w:shd w:val="clear" w:color="auto" w:fill="FFFFFF"/>
            <w:noWrap w:val="0"/>
            <w:vAlign w:val="center"/>
          </w:tcPr>
          <w:p w14:paraId="53AC2D7B">
            <w:pPr>
              <w:pStyle w:val="26"/>
              <w:spacing w:line="300" w:lineRule="exact"/>
              <w:jc w:val="center"/>
              <w:rPr>
                <w:rFonts w:hint="eastAsia"/>
                <w:highlight w:val="none"/>
              </w:rPr>
            </w:pPr>
            <w:r>
              <w:rPr>
                <w:rFonts w:hint="eastAsia"/>
                <w:highlight w:val="none"/>
              </w:rPr>
              <w:t>补植完成 时间</w:t>
            </w:r>
          </w:p>
        </w:tc>
        <w:tc>
          <w:tcPr>
            <w:tcW w:w="2326" w:type="dxa"/>
            <w:tcBorders>
              <w:top w:val="single" w:color="auto" w:sz="4" w:space="0"/>
              <w:left w:val="single" w:color="auto" w:sz="4" w:space="0"/>
              <w:bottom w:val="single" w:color="auto" w:sz="4" w:space="0"/>
            </w:tcBorders>
            <w:shd w:val="clear" w:color="auto" w:fill="FFFFFF"/>
            <w:noWrap w:val="0"/>
            <w:vAlign w:val="center"/>
          </w:tcPr>
          <w:p w14:paraId="0F648165">
            <w:pPr>
              <w:pStyle w:val="26"/>
              <w:spacing w:line="240" w:lineRule="auto"/>
              <w:jc w:val="center"/>
              <w:rPr>
                <w:rFonts w:hint="eastAsia"/>
                <w:highlight w:val="none"/>
              </w:rPr>
            </w:pPr>
            <w:r>
              <w:rPr>
                <w:rFonts w:hint="eastAsia"/>
                <w:highlight w:val="none"/>
                <w:lang w:val="en-US" w:eastAsia="zh-CN"/>
              </w:rPr>
              <w:t>≤</w:t>
            </w:r>
            <w:r>
              <w:rPr>
                <w:rFonts w:hint="eastAsia"/>
                <w:highlight w:val="none"/>
              </w:rPr>
              <w:t>3d</w:t>
            </w:r>
          </w:p>
        </w:tc>
        <w:tc>
          <w:tcPr>
            <w:tcW w:w="2078" w:type="dxa"/>
            <w:tcBorders>
              <w:top w:val="single" w:color="auto" w:sz="4" w:space="0"/>
              <w:left w:val="single" w:color="auto" w:sz="4" w:space="0"/>
              <w:bottom w:val="single" w:color="auto" w:sz="4" w:space="0"/>
            </w:tcBorders>
            <w:shd w:val="clear" w:color="auto" w:fill="FFFFFF"/>
            <w:noWrap w:val="0"/>
            <w:vAlign w:val="center"/>
          </w:tcPr>
          <w:p w14:paraId="237506CC">
            <w:pPr>
              <w:pStyle w:val="26"/>
              <w:spacing w:line="240" w:lineRule="auto"/>
              <w:jc w:val="center"/>
              <w:rPr>
                <w:rFonts w:hint="eastAsia"/>
                <w:highlight w:val="none"/>
                <w:lang w:val="en-US"/>
              </w:rPr>
            </w:pPr>
            <w:r>
              <w:rPr>
                <w:rFonts w:hint="eastAsia"/>
                <w:highlight w:val="none"/>
                <w:lang w:val="en-US" w:eastAsia="zh-CN"/>
              </w:rPr>
              <w:t>≤7d</w:t>
            </w:r>
          </w:p>
        </w:tc>
        <w:tc>
          <w:tcPr>
            <w:tcW w:w="21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25CA72">
            <w:pPr>
              <w:pStyle w:val="26"/>
              <w:spacing w:line="240" w:lineRule="auto"/>
              <w:jc w:val="center"/>
              <w:rPr>
                <w:rFonts w:hint="eastAsia"/>
                <w:highlight w:val="none"/>
              </w:rPr>
            </w:pPr>
            <w:r>
              <w:rPr>
                <w:rFonts w:hint="eastAsia"/>
                <w:highlight w:val="none"/>
                <w:lang w:val="en-US" w:eastAsia="zh-CN"/>
              </w:rPr>
              <w:t>≤</w:t>
            </w:r>
            <w:r>
              <w:rPr>
                <w:rFonts w:hint="eastAsia"/>
                <w:highlight w:val="none"/>
                <w:lang w:val="en-US" w:eastAsia="en-US" w:bidi="en-US"/>
              </w:rPr>
              <w:t>10d</w:t>
            </w:r>
          </w:p>
        </w:tc>
      </w:tr>
    </w:tbl>
    <w:p w14:paraId="27A2AC74">
      <w:pPr>
        <w:jc w:val="left"/>
        <w:rPr>
          <w:rFonts w:hint="eastAsia" w:ascii="宋体" w:hAnsi="宋体" w:cs="宋体"/>
          <w:b/>
          <w:sz w:val="32"/>
          <w:szCs w:val="32"/>
          <w:highlight w:val="none"/>
        </w:rPr>
      </w:pPr>
    </w:p>
    <w:p w14:paraId="4D56410A">
      <w:pPr>
        <w:jc w:val="left"/>
        <w:rPr>
          <w:rFonts w:hint="eastAsia" w:ascii="宋体" w:hAnsi="宋体" w:cs="宋体"/>
          <w:b/>
          <w:sz w:val="32"/>
          <w:szCs w:val="32"/>
          <w:highlight w:val="none"/>
        </w:rPr>
      </w:pPr>
    </w:p>
    <w:p w14:paraId="6E28A382">
      <w:pPr>
        <w:jc w:val="left"/>
        <w:rPr>
          <w:rFonts w:hint="eastAsia" w:ascii="宋体" w:hAnsi="宋体" w:cs="宋体"/>
          <w:b/>
          <w:sz w:val="32"/>
          <w:szCs w:val="32"/>
          <w:highlight w:val="none"/>
        </w:rPr>
      </w:pPr>
    </w:p>
    <w:p w14:paraId="04A2DBA0">
      <w:pPr>
        <w:jc w:val="left"/>
        <w:rPr>
          <w:rFonts w:hint="eastAsia" w:ascii="宋体" w:hAnsi="宋体" w:cs="宋体"/>
          <w:b/>
          <w:sz w:val="32"/>
          <w:szCs w:val="32"/>
          <w:highlight w:val="none"/>
        </w:rPr>
      </w:pPr>
    </w:p>
    <w:p w14:paraId="00CA9C1C">
      <w:pPr>
        <w:jc w:val="left"/>
        <w:rPr>
          <w:rFonts w:hint="eastAsia" w:ascii="宋体" w:hAnsi="宋体" w:cs="宋体"/>
          <w:b/>
          <w:sz w:val="32"/>
          <w:szCs w:val="32"/>
          <w:highlight w:val="none"/>
        </w:rPr>
      </w:pPr>
    </w:p>
    <w:p w14:paraId="23E23B73">
      <w:pPr>
        <w:jc w:val="left"/>
        <w:rPr>
          <w:rFonts w:hint="eastAsia" w:ascii="宋体" w:hAnsi="宋体" w:cs="宋体"/>
          <w:b/>
          <w:sz w:val="32"/>
          <w:szCs w:val="32"/>
          <w:highlight w:val="none"/>
        </w:rPr>
      </w:pPr>
    </w:p>
    <w:p w14:paraId="6A2B9B5D">
      <w:pPr>
        <w:jc w:val="left"/>
        <w:rPr>
          <w:rFonts w:hint="eastAsia" w:ascii="宋体" w:hAnsi="宋体" w:cs="宋体"/>
          <w:sz w:val="24"/>
          <w:szCs w:val="24"/>
          <w:highlight w:val="none"/>
        </w:rPr>
      </w:pPr>
      <w:r>
        <w:rPr>
          <w:rFonts w:hint="eastAsia" w:ascii="宋体" w:hAnsi="宋体" w:cs="宋体"/>
          <w:sz w:val="24"/>
          <w:szCs w:val="24"/>
          <w:highlight w:val="none"/>
        </w:rPr>
        <w:t>附件十</w:t>
      </w:r>
      <w:r>
        <w:rPr>
          <w:rFonts w:hint="eastAsia" w:ascii="宋体" w:hAnsi="宋体" w:cs="宋体"/>
          <w:sz w:val="24"/>
          <w:szCs w:val="24"/>
          <w:highlight w:val="none"/>
          <w:lang w:val="en-US" w:eastAsia="zh-CN"/>
        </w:rPr>
        <w:t>五</w:t>
      </w:r>
      <w:r>
        <w:rPr>
          <w:rFonts w:hint="eastAsia" w:ascii="宋体" w:hAnsi="宋体" w:cs="宋体"/>
          <w:sz w:val="24"/>
          <w:szCs w:val="24"/>
          <w:highlight w:val="none"/>
        </w:rPr>
        <w:t>:</w:t>
      </w:r>
    </w:p>
    <w:p w14:paraId="4825F150">
      <w:pPr>
        <w:jc w:val="center"/>
        <w:rPr>
          <w:rFonts w:hint="eastAsia" w:ascii="宋体" w:hAnsi="宋体" w:cs="宋体"/>
          <w:color w:val="000000"/>
          <w:sz w:val="20"/>
          <w:szCs w:val="21"/>
          <w:highlight w:val="none"/>
          <w:u w:val="single"/>
        </w:rPr>
      </w:pPr>
      <w:r>
        <w:rPr>
          <w:rFonts w:hint="eastAsia" w:ascii="宋体" w:hAnsi="宋体" w:cs="宋体"/>
          <w:color w:val="000000"/>
          <w:sz w:val="32"/>
          <w:szCs w:val="32"/>
          <w:highlight w:val="none"/>
        </w:rPr>
        <w:t>农民工工资专用账户开户(保证金缴存)告知书</w:t>
      </w:r>
    </w:p>
    <w:p w14:paraId="04082D78">
      <w:pPr>
        <w:spacing w:line="360" w:lineRule="auto"/>
        <w:rPr>
          <w:rFonts w:hint="eastAsia" w:ascii="宋体" w:hAnsi="宋体" w:cs="宋体"/>
          <w:color w:val="000000"/>
          <w:sz w:val="22"/>
          <w:highlight w:val="none"/>
        </w:rPr>
      </w:pPr>
      <w:r>
        <w:rPr>
          <w:rFonts w:hint="default" w:ascii="Times New Roman" w:hAnsi="Times New Roman" w:cs="Times New Roman"/>
          <w:color w:val="auto"/>
          <w:sz w:val="22"/>
          <w:highlight w:val="none"/>
          <w:u w:val="single"/>
        </w:rPr>
        <w:t xml:space="preserve"> 陕西建工集团股份有限公司</w:t>
      </w:r>
      <w:r>
        <w:rPr>
          <w:rFonts w:hint="eastAsia" w:ascii="Times New Roman" w:hAnsi="Times New Roman" w:cs="Times New Roman"/>
          <w:color w:val="auto"/>
          <w:sz w:val="22"/>
          <w:highlight w:val="none"/>
          <w:u w:val="single"/>
          <w:lang w:val="en-US" w:eastAsia="zh-CN"/>
        </w:rPr>
        <w:t xml:space="preserve"> </w:t>
      </w:r>
      <w:r>
        <w:rPr>
          <w:rFonts w:hint="eastAsia" w:ascii="宋体" w:hAnsi="宋体" w:cs="宋体"/>
          <w:color w:val="000000"/>
          <w:sz w:val="22"/>
          <w:highlight w:val="none"/>
        </w:rPr>
        <w:t>:</w:t>
      </w:r>
    </w:p>
    <w:p w14:paraId="14182F30">
      <w:pPr>
        <w:spacing w:line="360" w:lineRule="auto"/>
        <w:ind w:firstLine="440" w:firstLineChars="200"/>
        <w:rPr>
          <w:rFonts w:hint="eastAsia" w:ascii="宋体" w:hAnsi="宋体" w:cs="宋体"/>
          <w:color w:val="000000"/>
          <w:sz w:val="22"/>
          <w:highlight w:val="none"/>
        </w:rPr>
      </w:pPr>
      <w:r>
        <w:rPr>
          <w:rFonts w:hint="eastAsia" w:ascii="宋体" w:hAnsi="宋体" w:cs="宋体"/>
          <w:color w:val="000000"/>
          <w:sz w:val="22"/>
          <w:highlight w:val="none"/>
          <w:lang w:eastAsia="zh-CN"/>
        </w:rPr>
        <w:t>贵方</w:t>
      </w:r>
      <w:r>
        <w:rPr>
          <w:rFonts w:hint="eastAsia" w:ascii="宋体" w:hAnsi="宋体" w:cs="宋体"/>
          <w:color w:val="000000"/>
          <w:sz w:val="22"/>
          <w:highlight w:val="none"/>
        </w:rPr>
        <w:t>中标</w:t>
      </w:r>
      <w:r>
        <w:rPr>
          <w:rFonts w:hint="eastAsia" w:ascii="宋体" w:hAnsi="宋体" w:cs="宋体"/>
          <w:color w:val="000000"/>
          <w:sz w:val="22"/>
          <w:highlight w:val="none"/>
          <w:u w:val="single"/>
        </w:rPr>
        <w:t xml:space="preserve">  </w:t>
      </w:r>
      <w:r>
        <w:rPr>
          <w:rFonts w:hint="eastAsia" w:ascii="宋体" w:hAnsi="宋体" w:cs="宋体"/>
          <w:color w:val="000000"/>
          <w:sz w:val="22"/>
          <w:highlight w:val="none"/>
          <w:u w:val="single"/>
          <w:lang w:eastAsia="zh-CN"/>
        </w:rPr>
        <w:t>韦斗大道（纬二十路）（经四十路—造字台路）道路工程EPC工程总承包</w:t>
      </w:r>
      <w:r>
        <w:rPr>
          <w:rFonts w:hint="eastAsia" w:ascii="宋体" w:hAnsi="宋体" w:cs="宋体"/>
          <w:color w:val="000000"/>
          <w:sz w:val="22"/>
          <w:highlight w:val="none"/>
          <w:u w:val="single"/>
        </w:rPr>
        <w:t xml:space="preserve"> </w:t>
      </w:r>
      <w:r>
        <w:rPr>
          <w:rFonts w:hint="eastAsia" w:ascii="宋体" w:hAnsi="宋体" w:cs="宋体"/>
          <w:color w:val="000000"/>
          <w:sz w:val="22"/>
          <w:highlight w:val="none"/>
        </w:rPr>
        <w:t>，属西安高新区管辖，建设单位为</w:t>
      </w:r>
      <w:r>
        <w:rPr>
          <w:rFonts w:hint="eastAsia" w:ascii="宋体" w:hAnsi="宋体" w:cs="宋体"/>
          <w:color w:val="000000"/>
          <w:sz w:val="22"/>
          <w:highlight w:val="none"/>
          <w:u w:val="single"/>
        </w:rPr>
        <w:t>西安高新技术产业开发区公共项目建设管理中心</w:t>
      </w:r>
      <w:r>
        <w:rPr>
          <w:rFonts w:hint="eastAsia" w:ascii="宋体" w:hAnsi="宋体" w:cs="宋体"/>
          <w:color w:val="000000"/>
          <w:sz w:val="22"/>
          <w:highlight w:val="none"/>
        </w:rPr>
        <w:t>。根据《关于印发陕西省工程建设领域农民工工资专用账户管理暂行办法实施细则的通知》(陕人社发(2022)5号)、《关于印发陕西省工程建设领域农民工工资保证金规定实施办法的通知》(陕人社发(2022)6号)以及施工合同附件《杜绝转包、违法分包和拖欠农民工工资行为承诺书》等文件的相关要求，请</w:t>
      </w:r>
      <w:r>
        <w:rPr>
          <w:rFonts w:hint="eastAsia" w:ascii="宋体" w:hAnsi="宋体" w:cs="宋体"/>
          <w:color w:val="000000"/>
          <w:sz w:val="22"/>
          <w:highlight w:val="none"/>
          <w:lang w:eastAsia="zh-CN"/>
        </w:rPr>
        <w:t>贵方</w:t>
      </w:r>
      <w:r>
        <w:rPr>
          <w:rFonts w:hint="eastAsia" w:ascii="宋体" w:hAnsi="宋体" w:cs="宋体"/>
          <w:color w:val="000000"/>
          <w:sz w:val="22"/>
          <w:highlight w:val="none"/>
        </w:rPr>
        <w:t>自工程施工合同签订之日起30日内，开通农民工工资专用账户并办理农民工工资支付保证金，同时签订专用账户资金监管三方协议，专用账户名称为总包单位名称加工程建设项目名称后加“农民工工资专用账户”。请</w:t>
      </w:r>
      <w:r>
        <w:rPr>
          <w:rFonts w:hint="eastAsia" w:ascii="宋体" w:hAnsi="宋体" w:cs="宋体"/>
          <w:color w:val="000000"/>
          <w:sz w:val="22"/>
          <w:highlight w:val="none"/>
          <w:lang w:eastAsia="zh-CN"/>
        </w:rPr>
        <w:t>贵方</w:t>
      </w:r>
      <w:r>
        <w:rPr>
          <w:rFonts w:hint="eastAsia" w:ascii="宋体" w:hAnsi="宋体" w:cs="宋体"/>
          <w:color w:val="000000"/>
          <w:sz w:val="22"/>
          <w:highlight w:val="none"/>
        </w:rPr>
        <w:t>严格执行国家、省、市和高新区劳动保障法规政策，依法保障劳动者合法权益。</w:t>
      </w:r>
    </w:p>
    <w:p w14:paraId="0797E1A2">
      <w:pPr>
        <w:spacing w:line="360" w:lineRule="auto"/>
        <w:jc w:val="right"/>
        <w:rPr>
          <w:rFonts w:hint="eastAsia" w:ascii="宋体" w:hAnsi="宋体" w:cs="宋体"/>
          <w:color w:val="000000"/>
          <w:sz w:val="22"/>
          <w:highlight w:val="none"/>
        </w:rPr>
      </w:pPr>
      <w:r>
        <w:rPr>
          <w:rFonts w:hint="eastAsia" w:ascii="宋体" w:hAnsi="宋体" w:cs="宋体"/>
          <w:color w:val="000000"/>
          <w:sz w:val="22"/>
          <w:highlight w:val="none"/>
        </w:rPr>
        <w:t>西安高新技术产业开发区公共项目建设管理中心</w:t>
      </w:r>
    </w:p>
    <w:p w14:paraId="57DCFFAF">
      <w:pPr>
        <w:spacing w:line="360" w:lineRule="auto"/>
        <w:ind w:firstLine="1100" w:firstLineChars="500"/>
        <w:jc w:val="center"/>
        <w:rPr>
          <w:rFonts w:hint="eastAsia" w:ascii="宋体" w:hAnsi="宋体" w:cs="宋体"/>
          <w:color w:val="000000"/>
          <w:sz w:val="22"/>
          <w:highlight w:val="none"/>
        </w:rPr>
      </w:pPr>
      <w:r>
        <w:rPr>
          <w:rFonts w:hint="eastAsia" w:ascii="宋体" w:hAnsi="宋体" w:cs="宋体"/>
          <w:color w:val="000000"/>
          <w:sz w:val="22"/>
          <w:highlight w:val="none"/>
        </w:rPr>
        <w:t xml:space="preserve">                      年    月    日</w:t>
      </w:r>
    </w:p>
    <w:p w14:paraId="1AD5C01E">
      <w:pPr>
        <w:spacing w:line="480" w:lineRule="exact"/>
        <w:jc w:val="center"/>
        <w:rPr>
          <w:rFonts w:hint="eastAsia" w:ascii="宋体" w:hAnsi="宋体" w:cs="宋体"/>
          <w:color w:val="000000"/>
          <w:sz w:val="22"/>
          <w:highlight w:val="none"/>
        </w:rPr>
      </w:pPr>
      <w:r>
        <w:rPr>
          <w:rFonts w:hint="eastAsia" w:ascii="宋体" w:hAnsi="宋体" w:cs="宋体"/>
          <w:color w:val="000000"/>
          <w:sz w:val="22"/>
          <w:highlight w:val="none"/>
        </w:rPr>
        <w:t>(第一联，施工单位剪裁后留存）</w:t>
      </w:r>
    </w:p>
    <w:p w14:paraId="74268975">
      <w:pPr>
        <w:spacing w:line="480" w:lineRule="exact"/>
        <w:ind w:firstLine="2200" w:firstLineChars="1000"/>
        <w:rPr>
          <w:rFonts w:hint="eastAsia" w:ascii="宋体" w:hAnsi="宋体" w:cs="宋体"/>
          <w:color w:val="000000"/>
          <w:sz w:val="22"/>
          <w:highlight w:val="none"/>
          <w:u w:val="dotted"/>
        </w:rPr>
      </w:pPr>
      <w:r>
        <w:rPr>
          <w:rFonts w:hint="eastAsia" w:ascii="宋体" w:hAnsi="宋体" w:cs="宋体"/>
          <w:color w:val="000000"/>
          <w:sz w:val="22"/>
          <w:highlight w:val="none"/>
        </w:rPr>
        <mc:AlternateContent>
          <mc:Choice Requires="wps">
            <w:drawing>
              <wp:anchor distT="0" distB="0" distL="114300" distR="114300" simplePos="0" relativeHeight="251659264" behindDoc="0" locked="0" layoutInCell="1" allowOverlap="1">
                <wp:simplePos x="0" y="0"/>
                <wp:positionH relativeFrom="column">
                  <wp:posOffset>-31750</wp:posOffset>
                </wp:positionH>
                <wp:positionV relativeFrom="paragraph">
                  <wp:posOffset>71120</wp:posOffset>
                </wp:positionV>
                <wp:extent cx="5791200" cy="9525"/>
                <wp:effectExtent l="33655" t="24765" r="23495" b="80010"/>
                <wp:wrapNone/>
                <wp:docPr id="6" name="直接连接符 6"/>
                <wp:cNvGraphicFramePr/>
                <a:graphic xmlns:a="http://schemas.openxmlformats.org/drawingml/2006/main">
                  <a:graphicData uri="http://schemas.microsoft.com/office/word/2010/wordprocessingShape">
                    <wps:wsp>
                      <wps:cNvCnPr/>
                      <wps:spPr>
                        <a:xfrm flipV="1">
                          <a:off x="975360" y="6365875"/>
                          <a:ext cx="5791200" cy="9525"/>
                        </a:xfrm>
                        <a:prstGeom prst="line">
                          <a:avLst/>
                        </a:prstGeom>
                        <a:noFill/>
                        <a:ln w="28575" cap="flat" cmpd="sng" algn="ctr">
                          <a:solidFill>
                            <a:srgbClr val="000000"/>
                          </a:solidFill>
                          <a:prstDash val="sysDot"/>
                        </a:ln>
                        <a:effectLst>
                          <a:outerShdw blurRad="40000" dist="23000" dir="5400000" rotWithShape="0">
                            <a:srgbClr val="000000">
                              <a:alpha val="35000"/>
                            </a:srgbClr>
                          </a:outerShdw>
                        </a:effectLst>
                      </wps:spPr>
                      <wps:bodyPr/>
                    </wps:wsp>
                  </a:graphicData>
                </a:graphic>
              </wp:anchor>
            </w:drawing>
          </mc:Choice>
          <mc:Fallback>
            <w:pict>
              <v:line id="_x0000_s1026" o:spid="_x0000_s1026" o:spt="20" style="position:absolute;left:0pt;flip:y;margin-left:-2.5pt;margin-top:5.6pt;height:0.75pt;width:456pt;z-index:251659264;mso-width-relative:page;mso-height-relative:page;" filled="f" stroked="t" coordsize="21600,21600" o:gfxdata="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5D4y1AAAAAgBAAAPAAAAAAAAAAEAIAAAACIAAABkcnMvZG93bnJl&#10;di54bWxQSwECFAAUAAAACACHTuJAYwpxCDoCAABgBAAADgAAAAAAAAABACAAAAAjAQAAZHJzL2Uy&#10;b0RvYy54bWxQSwUGAAAAAAYABgBZAQAAzwUAAAAA&#10;">
                <v:fill on="f" focussize="0,0"/>
                <v:stroke weight="2.25pt" color="#000000" joinstyle="round" dashstyle="1 1"/>
                <v:imagedata o:title=""/>
                <o:lock v:ext="edit" aspectratio="f"/>
                <v:shadow on="t" color="#000000" opacity="22937f" offset="0pt,1.81102362204724pt" origin="0f,32768f" matrix="65536f,0f,0f,65536f"/>
              </v:line>
            </w:pict>
          </mc:Fallback>
        </mc:AlternateContent>
      </w:r>
      <w:r>
        <w:rPr>
          <w:rFonts w:hint="eastAsia" w:ascii="宋体" w:hAnsi="宋体" w:cs="宋体"/>
          <w:color w:val="000000"/>
          <w:sz w:val="22"/>
          <w:highlight w:val="none"/>
          <w:u w:val="dotted"/>
        </w:rPr>
        <w:t xml:space="preserve">    骑            缝            章</w:t>
      </w:r>
    </w:p>
    <w:p w14:paraId="60367EC3">
      <w:pPr>
        <w:spacing w:line="360" w:lineRule="auto"/>
        <w:jc w:val="center"/>
        <w:rPr>
          <w:rFonts w:hint="eastAsia" w:ascii="宋体" w:hAnsi="宋体" w:cs="宋体"/>
          <w:color w:val="000000"/>
          <w:sz w:val="22"/>
          <w:highlight w:val="none"/>
        </w:rPr>
      </w:pPr>
      <w:r>
        <w:rPr>
          <w:rFonts w:hint="eastAsia" w:ascii="宋体" w:hAnsi="宋体" w:cs="宋体"/>
          <w:color w:val="000000"/>
          <w:sz w:val="22"/>
          <w:highlight w:val="none"/>
        </w:rPr>
        <w:t>农民工工资专用账户开户(保证金缴存)告知书回执</w:t>
      </w:r>
    </w:p>
    <w:p w14:paraId="1D587034">
      <w:pPr>
        <w:spacing w:line="360" w:lineRule="auto"/>
        <w:rPr>
          <w:rFonts w:hint="eastAsia" w:ascii="宋体" w:hAnsi="宋体" w:cs="宋体"/>
          <w:color w:val="000000"/>
          <w:sz w:val="22"/>
          <w:highlight w:val="none"/>
        </w:rPr>
      </w:pPr>
      <w:r>
        <w:rPr>
          <w:rFonts w:hint="eastAsia" w:ascii="宋体" w:hAnsi="宋体" w:cs="宋体"/>
          <w:color w:val="000000"/>
          <w:sz w:val="22"/>
          <w:highlight w:val="none"/>
          <w:u w:val="single"/>
        </w:rPr>
        <w:t>西安高新技术产业开发区公共项目建设管理中心:</w:t>
      </w:r>
    </w:p>
    <w:p w14:paraId="136FB3F8">
      <w:pPr>
        <w:spacing w:line="360" w:lineRule="auto"/>
        <w:ind w:firstLine="440" w:firstLineChars="200"/>
        <w:rPr>
          <w:rFonts w:hint="eastAsia" w:ascii="宋体" w:hAnsi="宋体" w:cs="宋体"/>
          <w:color w:val="000000"/>
          <w:sz w:val="22"/>
          <w:highlight w:val="none"/>
          <w:u w:val="single"/>
        </w:rPr>
      </w:pPr>
      <w:r>
        <w:rPr>
          <w:rFonts w:hint="eastAsia" w:ascii="宋体" w:hAnsi="宋体" w:cs="宋体"/>
          <w:color w:val="000000"/>
          <w:sz w:val="22"/>
          <w:highlight w:val="none"/>
        </w:rPr>
        <w:t>我公司承诺自</w:t>
      </w:r>
      <w:r>
        <w:rPr>
          <w:rFonts w:hint="eastAsia" w:ascii="宋体" w:hAnsi="宋体" w:cs="宋体"/>
          <w:color w:val="000000"/>
          <w:sz w:val="22"/>
          <w:highlight w:val="none"/>
          <w:u w:val="single"/>
        </w:rPr>
        <w:t xml:space="preserve">   </w:t>
      </w:r>
      <w:r>
        <w:rPr>
          <w:rFonts w:hint="eastAsia" w:ascii="宋体" w:hAnsi="宋体" w:cs="宋体"/>
          <w:color w:val="000000"/>
          <w:sz w:val="22"/>
          <w:highlight w:val="none"/>
          <w:u w:val="single"/>
          <w:lang w:eastAsia="zh-CN"/>
        </w:rPr>
        <w:t>韦斗大道（纬二十路）（经四十路—造字台路）道路工程EPC工程总承包</w:t>
      </w:r>
      <w:r>
        <w:rPr>
          <w:rFonts w:hint="eastAsia" w:ascii="宋体" w:hAnsi="宋体" w:cs="宋体"/>
          <w:color w:val="000000"/>
          <w:sz w:val="22"/>
          <w:highlight w:val="none"/>
          <w:u w:val="single"/>
        </w:rPr>
        <w:t xml:space="preserve"> 合同签订之日起30日内，开通农民工工资专用账户并办理农民工工资支付保证金，同时签订专用账户资金监管三方协议，专用账户名称为总包单位名称加工程建设项目名称后加“农民工工资专用账户”。否则视为违约，</w:t>
      </w:r>
      <w:r>
        <w:rPr>
          <w:rFonts w:hint="eastAsia" w:ascii="宋体" w:hAnsi="宋体" w:cs="宋体"/>
          <w:color w:val="000000"/>
          <w:sz w:val="22"/>
          <w:highlight w:val="none"/>
          <w:u w:val="single"/>
          <w:lang w:eastAsia="zh-CN"/>
        </w:rPr>
        <w:t>贵方</w:t>
      </w:r>
      <w:r>
        <w:rPr>
          <w:rFonts w:hint="eastAsia" w:ascii="宋体" w:hAnsi="宋体" w:cs="宋体"/>
          <w:color w:val="000000"/>
          <w:sz w:val="22"/>
          <w:highlight w:val="none"/>
          <w:u w:val="single"/>
        </w:rPr>
        <w:t>有权暂停支付项目所有款项，直至我司办理完成。</w:t>
      </w:r>
    </w:p>
    <w:p w14:paraId="6BD07FFB">
      <w:pPr>
        <w:spacing w:line="360" w:lineRule="auto"/>
        <w:ind w:firstLine="440" w:firstLineChars="200"/>
        <w:rPr>
          <w:rFonts w:hint="eastAsia" w:ascii="宋体" w:hAnsi="宋体" w:cs="宋体"/>
          <w:color w:val="000000"/>
          <w:sz w:val="22"/>
          <w:highlight w:val="none"/>
          <w:u w:val="single"/>
        </w:rPr>
      </w:pPr>
      <w:r>
        <w:rPr>
          <w:rFonts w:hint="eastAsia" w:ascii="宋体" w:hAnsi="宋体" w:cs="宋体"/>
          <w:color w:val="000000"/>
          <w:sz w:val="22"/>
          <w:highlight w:val="none"/>
        </w:rPr>
        <w:t>特此承诺。</w:t>
      </w:r>
    </w:p>
    <w:p w14:paraId="3713D742">
      <w:pPr>
        <w:spacing w:line="360" w:lineRule="auto"/>
        <w:ind w:firstLine="1540" w:firstLineChars="700"/>
        <w:rPr>
          <w:rFonts w:hint="eastAsia" w:ascii="宋体" w:hAnsi="宋体" w:cs="宋体"/>
          <w:color w:val="000000"/>
          <w:sz w:val="22"/>
          <w:highlight w:val="none"/>
        </w:rPr>
      </w:pPr>
      <w:r>
        <w:rPr>
          <w:rFonts w:hint="eastAsia" w:ascii="宋体" w:hAnsi="宋体" w:cs="宋体"/>
          <w:color w:val="000000"/>
          <w:sz w:val="22"/>
          <w:highlight w:val="none"/>
        </w:rPr>
        <w:t xml:space="preserve">承诺单位:   （公章）     </w:t>
      </w:r>
    </w:p>
    <w:p w14:paraId="1477B6A8">
      <w:pPr>
        <w:spacing w:line="360" w:lineRule="auto"/>
        <w:ind w:firstLine="1540" w:firstLineChars="700"/>
        <w:rPr>
          <w:rFonts w:hint="eastAsia" w:ascii="宋体" w:hAnsi="宋体" w:cs="宋体"/>
          <w:color w:val="000000"/>
          <w:sz w:val="22"/>
          <w:highlight w:val="none"/>
        </w:rPr>
      </w:pPr>
      <w:r>
        <w:rPr>
          <w:rFonts w:hint="eastAsia" w:ascii="宋体" w:hAnsi="宋体" w:cs="宋体"/>
          <w:color w:val="000000"/>
          <w:sz w:val="22"/>
          <w:highlight w:val="none"/>
        </w:rPr>
        <w:t xml:space="preserve">承诺人:            （法人章或法人签字） 联系方式：                                          </w:t>
      </w:r>
    </w:p>
    <w:p w14:paraId="1CB12E8F">
      <w:pPr>
        <w:spacing w:line="360" w:lineRule="auto"/>
        <w:ind w:firstLine="3740" w:firstLineChars="1700"/>
        <w:rPr>
          <w:rFonts w:hint="eastAsia" w:ascii="宋体" w:hAnsi="宋体" w:cs="宋体"/>
          <w:color w:val="000000"/>
          <w:sz w:val="22"/>
          <w:highlight w:val="none"/>
        </w:rPr>
      </w:pPr>
      <w:r>
        <w:rPr>
          <w:rFonts w:hint="eastAsia" w:ascii="宋体" w:hAnsi="宋体" w:cs="宋体"/>
          <w:color w:val="000000"/>
          <w:sz w:val="22"/>
          <w:highlight w:val="none"/>
        </w:rPr>
        <w:t xml:space="preserve">年    月    日  </w:t>
      </w:r>
    </w:p>
    <w:p w14:paraId="3C482946">
      <w:pPr>
        <w:spacing w:line="360" w:lineRule="auto"/>
        <w:jc w:val="center"/>
      </w:pPr>
      <w:r>
        <w:rPr>
          <w:rFonts w:hint="eastAsia" w:ascii="宋体" w:hAnsi="宋体" w:cs="宋体"/>
          <w:color w:val="000000"/>
          <w:sz w:val="22"/>
          <w:highlight w:val="none"/>
        </w:rPr>
        <w:t>(第二联，西安高新技术产业开发区公共项目建设管理中心留存，需在空白处手写“以上内容我公司已知悉”)</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font-weight : 40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EEB9D">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16032">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8016032">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239D6">
    <w:pPr>
      <w:spacing w:line="1" w:lineRule="exact"/>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FA0507">
                          <w:pPr>
                            <w:pStyle w:val="11"/>
                          </w:pPr>
                          <w:r>
                            <w:t xml:space="preserve">第 </w:t>
                          </w:r>
                          <w:r>
                            <w:fldChar w:fldCharType="begin"/>
                          </w:r>
                          <w:r>
                            <w:instrText xml:space="preserve"> PAGE  \* MERGEFORMAT </w:instrText>
                          </w:r>
                          <w:r>
                            <w:fldChar w:fldCharType="separate"/>
                          </w:r>
                          <w:r>
                            <w:t>187</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04FA0507">
                    <w:pPr>
                      <w:pStyle w:val="11"/>
                    </w:pPr>
                    <w:r>
                      <w:t xml:space="preserve">第 </w:t>
                    </w:r>
                    <w:r>
                      <w:fldChar w:fldCharType="begin"/>
                    </w:r>
                    <w:r>
                      <w:instrText xml:space="preserve"> PAGE  \* MERGEFORMAT </w:instrText>
                    </w:r>
                    <w:r>
                      <w:fldChar w:fldCharType="separate"/>
                    </w:r>
                    <w:r>
                      <w:t>187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67850">
    <w:pPr>
      <w:spacing w:line="1" w:lineRule="exact"/>
    </w:pPr>
    <w:r>
      <mc:AlternateContent>
        <mc:Choice Requires="wps">
          <w:drawing>
            <wp:anchor distT="0" distB="0" distL="114300" distR="114300" simplePos="0" relativeHeight="251659264" behindDoc="1" locked="0" layoutInCell="1" allowOverlap="1">
              <wp:simplePos x="0" y="0"/>
              <wp:positionH relativeFrom="page">
                <wp:posOffset>1701800</wp:posOffset>
              </wp:positionH>
              <wp:positionV relativeFrom="page">
                <wp:posOffset>9084945</wp:posOffset>
              </wp:positionV>
              <wp:extent cx="152400" cy="1143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52400" cy="114300"/>
                      </a:xfrm>
                      <a:prstGeom prst="rect">
                        <a:avLst/>
                      </a:prstGeom>
                      <a:noFill/>
                      <a:ln>
                        <a:noFill/>
                      </a:ln>
                      <a:effectLst/>
                    </wps:spPr>
                    <wps:txbx>
                      <w:txbxContent>
                        <w:p w14:paraId="6056AD5E">
                          <w:pPr>
                            <w:pStyle w:val="28"/>
                            <w:jc w:val="left"/>
                          </w:pPr>
                          <w:r>
                            <w:fldChar w:fldCharType="begin"/>
                          </w:r>
                          <w:r>
                            <w:instrText xml:space="preserve"> PAGE \* MERGEFORMAT </w:instrText>
                          </w:r>
                          <w:r>
                            <w:fldChar w:fldCharType="separate"/>
                          </w:r>
                          <w:r>
                            <w:rPr>
                              <w:rFonts w:ascii="宋体" w:hAnsi="宋体" w:cs="宋体"/>
                              <w:i/>
                              <w:iCs/>
                              <w:color w:val="000000"/>
                            </w:rPr>
                            <w:t>#</w:t>
                          </w:r>
                          <w:r>
                            <w:rPr>
                              <w:rFonts w:ascii="宋体" w:hAnsi="宋体" w:cs="宋体"/>
                              <w:i/>
                              <w:iCs/>
                              <w:color w:val="000000"/>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134pt;margin-top:715.35pt;height:9pt;width:12pt;mso-position-horizontal-relative:page;mso-position-vertical-relative:page;mso-wrap-style:none;z-index:-251657216;mso-width-relative:page;mso-height-relative:page;" filled="f" stroked="f" coordsize="21600,21600" o:gfxdata="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c0zO9gAAAANAQAADwAAAAAAAAABACAAAAAiAAAAZHJz&#10;L2Rvd25yZXYueG1sUEsBAhQAFAAAAAgAh07iQE50boHLAQAAmQMAAA4AAAAAAAAAAQAgAAAAJwEA&#10;AGRycy9lMm9Eb2MueG1sUEsFBgAAAAAGAAYAWQEAAGQFAAAAAA==&#10;">
              <v:fill on="f" focussize="0,0"/>
              <v:stroke on="f"/>
              <v:imagedata o:title=""/>
              <o:lock v:ext="edit" aspectratio="f"/>
              <v:textbox inset="0mm,0mm,0mm,0mm" style="mso-fit-shape-to-text:t;">
                <w:txbxContent>
                  <w:p w14:paraId="6056AD5E">
                    <w:pPr>
                      <w:pStyle w:val="28"/>
                      <w:jc w:val="left"/>
                    </w:pPr>
                    <w:r>
                      <w:fldChar w:fldCharType="begin"/>
                    </w:r>
                    <w:r>
                      <w:instrText xml:space="preserve"> PAGE \* MERGEFORMAT </w:instrText>
                    </w:r>
                    <w:r>
                      <w:fldChar w:fldCharType="separate"/>
                    </w:r>
                    <w:r>
                      <w:rPr>
                        <w:rFonts w:ascii="宋体" w:hAnsi="宋体" w:cs="宋体"/>
                        <w:i/>
                        <w:iCs/>
                        <w:color w:val="000000"/>
                      </w:rPr>
                      <w:t>#</w:t>
                    </w:r>
                    <w:r>
                      <w:rPr>
                        <w:rFonts w:ascii="宋体" w:hAnsi="宋体" w:cs="宋体"/>
                        <w:i/>
                        <w:iCs/>
                        <w:color w:val="00000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5F0D">
    <w:pPr>
      <w:spacing w:line="1" w:lineRule="exact"/>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E5FF64">
                          <w:pPr>
                            <w:pStyle w:val="11"/>
                          </w:pPr>
                          <w:r>
                            <w:t xml:space="preserve">第 </w:t>
                          </w:r>
                          <w:r>
                            <w:fldChar w:fldCharType="begin"/>
                          </w:r>
                          <w:r>
                            <w:instrText xml:space="preserve"> PAGE  \* MERGEFORMAT </w:instrText>
                          </w:r>
                          <w:r>
                            <w:fldChar w:fldCharType="separate"/>
                          </w:r>
                          <w:r>
                            <w:t>186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47E5FF64">
                    <w:pPr>
                      <w:pStyle w:val="11"/>
                    </w:pPr>
                    <w:r>
                      <w:t xml:space="preserve">第 </w:t>
                    </w:r>
                    <w:r>
                      <w:fldChar w:fldCharType="begin"/>
                    </w:r>
                    <w:r>
                      <w:instrText xml:space="preserve"> PAGE  \* MERGEFORMAT </w:instrText>
                    </w:r>
                    <w:r>
                      <w:fldChar w:fldCharType="separate"/>
                    </w:r>
                    <w:r>
                      <w:t>186</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8A7D5">
    <w:pPr>
      <w:spacing w:line="1" w:lineRule="exact"/>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8C7079">
                          <w:pPr>
                            <w:pStyle w:val="11"/>
                          </w:pPr>
                          <w:r>
                            <w:t xml:space="preserve">第 </w:t>
                          </w:r>
                          <w:r>
                            <w:fldChar w:fldCharType="begin"/>
                          </w:r>
                          <w:r>
                            <w:instrText xml:space="preserve"> PAGE  \* MERGEFORMAT </w:instrText>
                          </w:r>
                          <w:r>
                            <w:fldChar w:fldCharType="separate"/>
                          </w:r>
                          <w:r>
                            <w:t>190</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0F8C7079">
                    <w:pPr>
                      <w:pStyle w:val="11"/>
                    </w:pPr>
                    <w:r>
                      <w:t xml:space="preserve">第 </w:t>
                    </w:r>
                    <w:r>
                      <w:fldChar w:fldCharType="begin"/>
                    </w:r>
                    <w:r>
                      <w:instrText xml:space="preserve"> PAGE  \* MERGEFORMAT </w:instrText>
                    </w:r>
                    <w:r>
                      <w:fldChar w:fldCharType="separate"/>
                    </w:r>
                    <w:r>
                      <w:t>190</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31029">
    <w:pPr>
      <w:spacing w:line="1" w:lineRule="exact"/>
    </w:pPr>
    <w:r>
      <mc:AlternateContent>
        <mc:Choice Requires="wps">
          <w:drawing>
            <wp:anchor distT="0" distB="0" distL="114300" distR="114300" simplePos="0" relativeHeight="251660288" behindDoc="1" locked="0" layoutInCell="1" allowOverlap="1">
              <wp:simplePos x="0" y="0"/>
              <wp:positionH relativeFrom="page">
                <wp:posOffset>1703705</wp:posOffset>
              </wp:positionH>
              <wp:positionV relativeFrom="page">
                <wp:posOffset>9097645</wp:posOffset>
              </wp:positionV>
              <wp:extent cx="152400" cy="1143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52400" cy="114300"/>
                      </a:xfrm>
                      <a:prstGeom prst="rect">
                        <a:avLst/>
                      </a:prstGeom>
                      <a:noFill/>
                      <a:ln>
                        <a:noFill/>
                      </a:ln>
                      <a:effectLst/>
                    </wps:spPr>
                    <wps:txbx>
                      <w:txbxContent>
                        <w:p w14:paraId="66F22ED7">
                          <w:pPr>
                            <w:pStyle w:val="29"/>
                            <w:spacing w:line="240" w:lineRule="auto"/>
                            <w:jc w:val="left"/>
                          </w:pPr>
                          <w:r>
                            <w:fldChar w:fldCharType="begin"/>
                          </w:r>
                          <w:r>
                            <w:instrText xml:space="preserve"> PAGE \* MERGEFORMAT </w:instrText>
                          </w:r>
                          <w:r>
                            <w:fldChar w:fldCharType="separate"/>
                          </w:r>
                          <w:r>
                            <w:rPr>
                              <w:color w:val="000000"/>
                            </w:rPr>
                            <w:t>#</w:t>
                          </w:r>
                          <w:r>
                            <w:rPr>
                              <w:color w:val="000000"/>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134.15pt;margin-top:716.35pt;height:9pt;width:12pt;mso-position-horizontal-relative:page;mso-position-vertical-relative:page;mso-wrap-style:none;z-index:-251656192;mso-width-relative:page;mso-height-relative:page;" filled="f" stroked="f" coordsize="21600,21600" o:gfxdata="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9H6R9gAAAANAQAADwAAAAAAAAABACAAAAAiAAAAZHJz&#10;L2Rvd25yZXYueG1sUEsBAhQAFAAAAAgAh07iQF59cEvLAQAAmwMAAA4AAAAAAAAAAQAgAAAAJwEA&#10;AGRycy9lMm9Eb2MueG1sUEsFBgAAAAAGAAYAWQEAAGQFAAAAAA==&#10;">
              <v:fill on="f" focussize="0,0"/>
              <v:stroke on="f"/>
              <v:imagedata o:title=""/>
              <o:lock v:ext="edit" aspectratio="f"/>
              <v:textbox inset="0mm,0mm,0mm,0mm" style="mso-fit-shape-to-text:t;">
                <w:txbxContent>
                  <w:p w14:paraId="66F22ED7">
                    <w:pPr>
                      <w:pStyle w:val="29"/>
                      <w:spacing w:line="240" w:lineRule="auto"/>
                      <w:jc w:val="left"/>
                    </w:pPr>
                    <w:r>
                      <w:fldChar w:fldCharType="begin"/>
                    </w:r>
                    <w:r>
                      <w:instrText xml:space="preserve"> PAGE \* MERGEFORMAT </w:instrText>
                    </w:r>
                    <w:r>
                      <w:fldChar w:fldCharType="separate"/>
                    </w:r>
                    <w:r>
                      <w:rPr>
                        <w:color w:val="000000"/>
                      </w:rPr>
                      <w:t>#</w:t>
                    </w:r>
                    <w:r>
                      <w:rPr>
                        <w:color w:val="00000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38D85">
    <w:pPr>
      <w:pStyle w:val="12"/>
      <w:pBdr>
        <w:bottom w:val="none" w:color="auto" w:sz="0" w:space="1"/>
      </w:pBdr>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B1C96">
    <w:pPr>
      <w:pStyle w:val="12"/>
      <w:pBdr>
        <w:bottom w:val="none" w:color="auto" w:sz="0" w:space="1"/>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6B8BC"/>
    <w:multiLevelType w:val="singleLevel"/>
    <w:tmpl w:val="8856B8BC"/>
    <w:lvl w:ilvl="0" w:tentative="0">
      <w:start w:val="3"/>
      <w:numFmt w:val="decimal"/>
      <w:suff w:val="nothing"/>
      <w:lvlText w:val="%1、"/>
      <w:lvlJc w:val="left"/>
    </w:lvl>
  </w:abstractNum>
  <w:abstractNum w:abstractNumId="1">
    <w:nsid w:val="8FFF5D8B"/>
    <w:multiLevelType w:val="singleLevel"/>
    <w:tmpl w:val="8FFF5D8B"/>
    <w:lvl w:ilvl="0" w:tentative="0">
      <w:start w:val="1"/>
      <w:numFmt w:val="chineseCounting"/>
      <w:suff w:val="nothing"/>
      <w:lvlText w:val="%1、"/>
      <w:lvlJc w:val="left"/>
      <w:rPr>
        <w:rFonts w:hint="eastAsia"/>
      </w:rPr>
    </w:lvl>
  </w:abstractNum>
  <w:abstractNum w:abstractNumId="2">
    <w:nsid w:val="D71A8BF5"/>
    <w:multiLevelType w:val="singleLevel"/>
    <w:tmpl w:val="D71A8BF5"/>
    <w:lvl w:ilvl="0" w:tentative="0">
      <w:start w:val="8"/>
      <w:numFmt w:val="decimal"/>
      <w:suff w:val="nothing"/>
      <w:lvlText w:val="（%1）"/>
      <w:lvlJc w:val="left"/>
    </w:lvl>
  </w:abstractNum>
  <w:abstractNum w:abstractNumId="3">
    <w:nsid w:val="1D52CE30"/>
    <w:multiLevelType w:val="singleLevel"/>
    <w:tmpl w:val="1D52CE30"/>
    <w:lvl w:ilvl="0" w:tentative="0">
      <w:start w:val="1"/>
      <w:numFmt w:val="decimal"/>
      <w:suff w:val="nothing"/>
      <w:lvlText w:val="%1．"/>
      <w:lvlJc w:val="left"/>
    </w:lvl>
  </w:abstractNum>
  <w:abstractNum w:abstractNumId="4">
    <w:nsid w:val="21148105"/>
    <w:multiLevelType w:val="singleLevel"/>
    <w:tmpl w:val="21148105"/>
    <w:lvl w:ilvl="0" w:tentative="0">
      <w:start w:val="1"/>
      <w:numFmt w:val="decimal"/>
      <w:lvlText w:val="%1."/>
      <w:lvlJc w:val="left"/>
      <w:pPr>
        <w:tabs>
          <w:tab w:val="left" w:pos="312"/>
        </w:tabs>
      </w:pPr>
    </w:lvl>
  </w:abstractNum>
  <w:abstractNum w:abstractNumId="5">
    <w:nsid w:val="336F52DF"/>
    <w:multiLevelType w:val="singleLevel"/>
    <w:tmpl w:val="336F52DF"/>
    <w:lvl w:ilvl="0" w:tentative="0">
      <w:start w:val="1"/>
      <w:numFmt w:val="decimal"/>
      <w:suff w:val="nothing"/>
      <w:lvlText w:val="%1、"/>
      <w:lvlJc w:val="left"/>
    </w:lvl>
  </w:abstractNum>
  <w:abstractNum w:abstractNumId="6">
    <w:nsid w:val="3CFFB509"/>
    <w:multiLevelType w:val="singleLevel"/>
    <w:tmpl w:val="3CFFB509"/>
    <w:lvl w:ilvl="0" w:tentative="0">
      <w:start w:val="3"/>
      <w:numFmt w:val="decimal"/>
      <w:suff w:val="space"/>
      <w:lvlText w:val="%1."/>
      <w:lvlJc w:val="left"/>
    </w:lvl>
  </w:abstractNum>
  <w:abstractNum w:abstractNumId="7">
    <w:nsid w:val="58FC89ED"/>
    <w:multiLevelType w:val="singleLevel"/>
    <w:tmpl w:val="58FC89ED"/>
    <w:lvl w:ilvl="0" w:tentative="0">
      <w:start w:val="17"/>
      <w:numFmt w:val="decimal"/>
      <w:suff w:val="nothing"/>
      <w:lvlText w:val="%1．"/>
      <w:lvlJc w:val="left"/>
    </w:lvl>
  </w:abstractNum>
  <w:abstractNum w:abstractNumId="8">
    <w:nsid w:val="5907FECA"/>
    <w:multiLevelType w:val="singleLevel"/>
    <w:tmpl w:val="5907FECA"/>
    <w:lvl w:ilvl="0" w:tentative="0">
      <w:start w:val="1"/>
      <w:numFmt w:val="decimal"/>
      <w:suff w:val="nothing"/>
      <w:lvlText w:val="（%1）"/>
      <w:lvlJc w:val="left"/>
    </w:lvl>
  </w:abstractNum>
  <w:num w:numId="1">
    <w:abstractNumId w:val="3"/>
  </w:num>
  <w:num w:numId="2">
    <w:abstractNumId w:val="8"/>
  </w:num>
  <w:num w:numId="3">
    <w:abstractNumId w:val="5"/>
  </w:num>
  <w:num w:numId="4">
    <w:abstractNumId w:val="7"/>
  </w:num>
  <w:num w:numId="5">
    <w:abstractNumId w:val="6"/>
  </w:num>
  <w:num w:numId="6">
    <w:abstractNumId w:val="1"/>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196046"/>
    <w:rsid w:val="015E3539"/>
    <w:rsid w:val="08C90BA5"/>
    <w:rsid w:val="094D4E6D"/>
    <w:rsid w:val="09E1066D"/>
    <w:rsid w:val="0AE0272E"/>
    <w:rsid w:val="152759B2"/>
    <w:rsid w:val="16642CF9"/>
    <w:rsid w:val="17D9680D"/>
    <w:rsid w:val="218C0CE1"/>
    <w:rsid w:val="25D631E2"/>
    <w:rsid w:val="28706403"/>
    <w:rsid w:val="2C196046"/>
    <w:rsid w:val="30DA7C61"/>
    <w:rsid w:val="382C31EB"/>
    <w:rsid w:val="3D7E6792"/>
    <w:rsid w:val="3FC521F1"/>
    <w:rsid w:val="43E84CBD"/>
    <w:rsid w:val="47046985"/>
    <w:rsid w:val="49E34841"/>
    <w:rsid w:val="4BB37F93"/>
    <w:rsid w:val="4F4F5B2A"/>
    <w:rsid w:val="54FB684F"/>
    <w:rsid w:val="5B5E09DF"/>
    <w:rsid w:val="6A895812"/>
    <w:rsid w:val="74C710E0"/>
    <w:rsid w:val="74EB6AD9"/>
    <w:rsid w:val="76BD6380"/>
    <w:rsid w:val="7B6266F3"/>
    <w:rsid w:val="7DE44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
    <w:pPr>
      <w:keepNext/>
      <w:keepLines/>
      <w:jc w:val="center"/>
      <w:outlineLvl w:val="0"/>
    </w:pPr>
    <w:rPr>
      <w:b/>
      <w:bCs/>
      <w:kern w:val="44"/>
      <w:sz w:val="44"/>
      <w:szCs w:val="44"/>
    </w:rPr>
  </w:style>
  <w:style w:type="paragraph" w:styleId="3">
    <w:name w:val="heading 2"/>
    <w:basedOn w:val="1"/>
    <w:next w:val="1"/>
    <w:qFormat/>
    <w:uiPriority w:val="99"/>
    <w:pPr>
      <w:keepNext/>
      <w:keepLines/>
      <w:jc w:val="center"/>
      <w:outlineLvl w:val="1"/>
    </w:pPr>
    <w:rPr>
      <w:rFonts w:ascii="Cambria" w:hAnsi="Cambria"/>
      <w:b/>
      <w:bCs/>
      <w:sz w:val="32"/>
      <w:szCs w:val="32"/>
    </w:rPr>
  </w:style>
  <w:style w:type="paragraph" w:styleId="4">
    <w:name w:val="heading 3"/>
    <w:basedOn w:val="1"/>
    <w:next w:val="1"/>
    <w:qFormat/>
    <w:uiPriority w:val="0"/>
    <w:pPr>
      <w:keepNext/>
      <w:keepLines/>
      <w:jc w:val="left"/>
      <w:outlineLvl w:val="2"/>
    </w:pPr>
    <w:rPr>
      <w:b/>
      <w:bCs/>
      <w:kern w:val="0"/>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99"/>
    <w:pPr>
      <w:spacing w:line="240" w:lineRule="auto"/>
      <w:ind w:firstLine="420"/>
    </w:pPr>
    <w:rPr>
      <w:kern w:val="0"/>
      <w:sz w:val="20"/>
      <w:szCs w:val="20"/>
    </w:rPr>
  </w:style>
  <w:style w:type="paragraph" w:styleId="7">
    <w:name w:val="Body Text"/>
    <w:basedOn w:val="1"/>
    <w:qFormat/>
    <w:uiPriority w:val="0"/>
    <w:rPr>
      <w:rFonts w:ascii="宋体" w:hAnsi="宋体" w:cs="宋体"/>
      <w:sz w:val="21"/>
      <w:szCs w:val="21"/>
      <w:lang w:val="zh-CN" w:bidi="zh-CN"/>
    </w:rPr>
  </w:style>
  <w:style w:type="paragraph" w:styleId="8">
    <w:name w:val="Body Text Indent"/>
    <w:basedOn w:val="1"/>
    <w:qFormat/>
    <w:uiPriority w:val="99"/>
    <w:pPr>
      <w:spacing w:after="120" w:afterLines="0"/>
      <w:ind w:left="420" w:leftChars="200"/>
    </w:pPr>
  </w:style>
  <w:style w:type="paragraph" w:styleId="9">
    <w:name w:val="Block Text"/>
    <w:basedOn w:val="1"/>
    <w:next w:val="10"/>
    <w:qFormat/>
    <w:uiPriority w:val="99"/>
    <w:pPr>
      <w:adjustRightInd w:val="0"/>
      <w:spacing w:line="240" w:lineRule="auto"/>
      <w:ind w:left="420" w:right="33"/>
      <w:jc w:val="left"/>
      <w:textAlignment w:val="baseline"/>
    </w:pPr>
    <w:rPr>
      <w:kern w:val="0"/>
      <w:szCs w:val="20"/>
    </w:rPr>
  </w:style>
  <w:style w:type="paragraph" w:styleId="10">
    <w:name w:val="Plain Text"/>
    <w:basedOn w:val="1"/>
    <w:qFormat/>
    <w:uiPriority w:val="0"/>
    <w:rPr>
      <w:rFonts w:ascii="宋体" w:hAnsi="Courier New"/>
      <w:sz w:val="21"/>
      <w:szCs w:val="21"/>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2"/>
    <w:basedOn w:val="8"/>
    <w:qFormat/>
    <w:uiPriority w:val="0"/>
  </w:style>
  <w:style w:type="character" w:styleId="16">
    <w:name w:val="annotation reference"/>
    <w:qFormat/>
    <w:uiPriority w:val="99"/>
    <w:rPr>
      <w:sz w:val="21"/>
      <w:szCs w:val="21"/>
    </w:rPr>
  </w:style>
  <w:style w:type="paragraph" w:customStyle="1" w:styleId="17">
    <w:name w:val="table"/>
    <w:qFormat/>
    <w:uiPriority w:val="0"/>
    <w:pPr>
      <w:framePr w:hSpace="180" w:wrap="around" w:vAnchor="text" w:hAnchor="margin" w:y="1418"/>
      <w:adjustRightInd w:val="0"/>
      <w:snapToGrid w:val="0"/>
    </w:pPr>
    <w:rPr>
      <w:rFonts w:ascii="宋体" w:hAnsi="Times New Roman" w:eastAsia="宋体" w:cs="Times New Roman"/>
      <w:kern w:val="2"/>
      <w:sz w:val="24"/>
      <w:szCs w:val="22"/>
      <w:lang w:val="en-US" w:eastAsia="zh-CN" w:bidi="ar-SA"/>
    </w:rPr>
  </w:style>
  <w:style w:type="paragraph" w:customStyle="1" w:styleId="18">
    <w:name w:val="列出段落1"/>
    <w:basedOn w:val="1"/>
    <w:qFormat/>
    <w:uiPriority w:val="34"/>
    <w:pPr>
      <w:ind w:firstLine="420" w:firstLineChars="200"/>
    </w:pPr>
  </w:style>
  <w:style w:type="character" w:customStyle="1" w:styleId="19">
    <w:name w:val="font31"/>
    <w:qFormat/>
    <w:uiPriority w:val="0"/>
    <w:rPr>
      <w:rFonts w:ascii="font-weight : 400" w:hAnsi="font-weight : 400"/>
      <w:color w:val="000000"/>
      <w:sz w:val="20"/>
      <w:u w:val="none"/>
    </w:rPr>
  </w:style>
  <w:style w:type="character" w:customStyle="1" w:styleId="20">
    <w:name w:val="font41"/>
    <w:qFormat/>
    <w:uiPriority w:val="0"/>
    <w:rPr>
      <w:rFonts w:hint="eastAsia" w:ascii="宋体" w:hAnsi="宋体" w:eastAsia="宋体" w:cs="宋体"/>
      <w:color w:val="000000"/>
      <w:sz w:val="24"/>
      <w:szCs w:val="24"/>
      <w:u w:val="none"/>
    </w:rPr>
  </w:style>
  <w:style w:type="character" w:customStyle="1" w:styleId="21">
    <w:name w:val="font61"/>
    <w:qFormat/>
    <w:uiPriority w:val="0"/>
    <w:rPr>
      <w:rFonts w:hint="eastAsia" w:ascii="宋体" w:hAnsi="宋体" w:eastAsia="宋体" w:cs="宋体"/>
      <w:color w:val="000000"/>
      <w:sz w:val="22"/>
      <w:szCs w:val="22"/>
      <w:u w:val="none"/>
    </w:rPr>
  </w:style>
  <w:style w:type="character" w:customStyle="1" w:styleId="22">
    <w:name w:val="font21"/>
    <w:qFormat/>
    <w:uiPriority w:val="0"/>
    <w:rPr>
      <w:rFonts w:ascii="宋体" w:hAnsi="宋体" w:eastAsia="宋体"/>
      <w:color w:val="000000"/>
      <w:sz w:val="16"/>
      <w:u w:val="none"/>
    </w:rPr>
  </w:style>
  <w:style w:type="character" w:customStyle="1" w:styleId="23">
    <w:name w:val="font01"/>
    <w:qFormat/>
    <w:uiPriority w:val="0"/>
    <w:rPr>
      <w:rFonts w:ascii="Arial" w:hAnsi="Arial" w:cs="Arial"/>
      <w:color w:val="000000"/>
      <w:sz w:val="22"/>
      <w:szCs w:val="22"/>
      <w:u w:val="none"/>
    </w:rPr>
  </w:style>
  <w:style w:type="paragraph" w:customStyle="1" w:styleId="24">
    <w:name w:val="Body text|1"/>
    <w:basedOn w:val="1"/>
    <w:qFormat/>
    <w:uiPriority w:val="0"/>
    <w:pPr>
      <w:spacing w:after="40" w:line="293" w:lineRule="auto"/>
    </w:pPr>
    <w:rPr>
      <w:rFonts w:ascii="宋体" w:hAnsi="宋体" w:cs="宋体"/>
      <w:color w:val="1A1A1A"/>
      <w:sz w:val="20"/>
      <w:szCs w:val="20"/>
      <w:lang w:val="zh-TW" w:eastAsia="zh-TW" w:bidi="zh-TW"/>
    </w:rPr>
  </w:style>
  <w:style w:type="paragraph" w:customStyle="1" w:styleId="25">
    <w:name w:val="Table caption|1"/>
    <w:basedOn w:val="1"/>
    <w:qFormat/>
    <w:uiPriority w:val="0"/>
    <w:rPr>
      <w:rFonts w:ascii="宋体" w:hAnsi="宋体" w:cs="宋体"/>
      <w:sz w:val="20"/>
      <w:szCs w:val="20"/>
      <w:lang w:val="zh-TW" w:eastAsia="zh-TW" w:bidi="zh-TW"/>
    </w:rPr>
  </w:style>
  <w:style w:type="paragraph" w:customStyle="1" w:styleId="26">
    <w:name w:val="Other|1"/>
    <w:basedOn w:val="1"/>
    <w:qFormat/>
    <w:uiPriority w:val="0"/>
    <w:pPr>
      <w:spacing w:line="343" w:lineRule="auto"/>
    </w:pPr>
    <w:rPr>
      <w:rFonts w:ascii="宋体" w:hAnsi="宋体" w:cs="宋体"/>
      <w:sz w:val="20"/>
      <w:szCs w:val="20"/>
      <w:lang w:val="zh-TW" w:eastAsia="zh-TW" w:bidi="zh-TW"/>
    </w:rPr>
  </w:style>
  <w:style w:type="paragraph" w:customStyle="1" w:styleId="27">
    <w:name w:val="Heading #1|1"/>
    <w:basedOn w:val="1"/>
    <w:qFormat/>
    <w:uiPriority w:val="0"/>
    <w:pPr>
      <w:spacing w:before="490" w:after="290"/>
      <w:jc w:val="center"/>
      <w:outlineLvl w:val="0"/>
    </w:pPr>
    <w:rPr>
      <w:rFonts w:ascii="宋体" w:hAnsi="宋体" w:cs="宋体"/>
      <w:sz w:val="32"/>
      <w:szCs w:val="32"/>
      <w:lang w:val="zh-TW" w:eastAsia="zh-TW" w:bidi="zh-TW"/>
    </w:rPr>
  </w:style>
  <w:style w:type="paragraph" w:customStyle="1" w:styleId="28">
    <w:name w:val="Header or footer|2"/>
    <w:basedOn w:val="1"/>
    <w:qFormat/>
    <w:uiPriority w:val="0"/>
    <w:rPr>
      <w:sz w:val="20"/>
      <w:szCs w:val="20"/>
      <w:lang w:val="zh-TW" w:eastAsia="zh-TW" w:bidi="zh-TW"/>
    </w:rPr>
  </w:style>
  <w:style w:type="paragraph" w:customStyle="1" w:styleId="29">
    <w:name w:val="Header or footer|1"/>
    <w:basedOn w:val="1"/>
    <w:qFormat/>
    <w:uiPriority w:val="0"/>
    <w:pPr>
      <w:spacing w:line="317" w:lineRule="auto"/>
    </w:pPr>
    <w:rPr>
      <w:rFonts w:ascii="宋体" w:hAnsi="宋体" w:cs="宋体"/>
      <w:i/>
      <w:iCs/>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emf"/><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202</Pages>
  <Words>33031</Words>
  <Characters>35584</Characters>
  <Lines>0</Lines>
  <Paragraphs>0</Paragraphs>
  <TotalTime>8</TotalTime>
  <ScaleCrop>false</ScaleCrop>
  <LinksUpToDate>false</LinksUpToDate>
  <CharactersWithSpaces>36242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2025-11-14T09:03:00Z</dcterms:created>
  <dc:creator>我还是瓦妮莎</dc:creator>
  <cp:lastModifiedBy>DAREN</cp:lastModifiedBy>
  <dcterms:modified xsi:type="dcterms:W3CDTF">2026-01-07T05:50:38Z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DE09CC18A3CF4097B5D3D05705C7392B_13</vt:lpwstr>
  </property>
  <property fmtid="{D5CDD505-2E9C-101B-9397-08002B2CF9AE}" pid="4" name="KSOTemplateDocerSaveRecord">
    <vt:lpwstr>eyJoZGlkIjoiYmUwZWYzZjg1NDFjZWVlYzg2MTM3YmEzZTk0OWVlM2YiLCJ1c2VySWQiOiIyMDg4MjE3MTAifQ==</vt:lpwstr>
  </property>
</Properties>
</file>