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67" w:name="_GoBack"/>
      <w:bookmarkEnd w:id="67"/>
    </w:p>
    <w:p/>
    <w:p>
      <w:pPr>
        <w:jc w:val="center"/>
        <w:rPr>
          <w:rFonts w:asciiTheme="majorEastAsia" w:hAnsiTheme="majorEastAsia" w:eastAsiaTheme="majorEastAsia"/>
          <w:b/>
          <w:sz w:val="48"/>
          <w:szCs w:val="48"/>
        </w:rPr>
      </w:pPr>
      <w:r>
        <w:rPr>
          <w:rFonts w:hint="eastAsia" w:ascii="宋体" w:hAnsi="宋体"/>
          <w:b/>
          <w:sz w:val="52"/>
          <w:szCs w:val="60"/>
          <w:lang w:val="en-US" w:eastAsia="zh-CN"/>
        </w:rPr>
        <w:t>西安市</w:t>
      </w:r>
      <w:r>
        <w:rPr>
          <w:rFonts w:hint="eastAsia" w:ascii="宋体" w:hAnsi="宋体"/>
          <w:b/>
          <w:sz w:val="52"/>
          <w:szCs w:val="60"/>
        </w:rPr>
        <w:t>公共资源交易平台系统</w:t>
      </w:r>
    </w:p>
    <w:p>
      <w:pPr>
        <w:jc w:val="center"/>
        <w:rPr>
          <w:rFonts w:asciiTheme="majorEastAsia" w:hAnsiTheme="majorEastAsia" w:eastAsiaTheme="majorEastAsia"/>
          <w:b/>
          <w:sz w:val="48"/>
          <w:szCs w:val="48"/>
        </w:rPr>
      </w:pPr>
      <w:r>
        <w:rPr>
          <w:rFonts w:hint="eastAsia" w:asciiTheme="majorEastAsia" w:hAnsiTheme="majorEastAsia" w:eastAsiaTheme="majorEastAsia"/>
          <w:b/>
          <w:sz w:val="48"/>
          <w:szCs w:val="48"/>
        </w:rPr>
        <w:t>交通系统</w:t>
      </w:r>
      <w:r>
        <w:rPr>
          <w:rFonts w:asciiTheme="majorEastAsia" w:hAnsiTheme="majorEastAsia" w:eastAsiaTheme="majorEastAsia"/>
          <w:b/>
          <w:sz w:val="48"/>
          <w:szCs w:val="48"/>
        </w:rPr>
        <w:t>使用手册</w:t>
      </w:r>
    </w:p>
    <w:p>
      <w:pPr>
        <w:jc w:val="center"/>
        <w:rPr>
          <w:rFonts w:asciiTheme="majorEastAsia" w:hAnsiTheme="majorEastAsia" w:eastAsiaTheme="majorEastAsia"/>
          <w:b/>
          <w:sz w:val="48"/>
          <w:szCs w:val="48"/>
        </w:rPr>
      </w:pPr>
    </w:p>
    <w:p>
      <w:pPr>
        <w:jc w:val="center"/>
        <w:rPr>
          <w:rFonts w:asciiTheme="majorEastAsia" w:hAnsiTheme="majorEastAsia" w:eastAsiaTheme="majorEastAsia"/>
          <w:b/>
          <w:sz w:val="48"/>
          <w:szCs w:val="48"/>
        </w:rPr>
      </w:pPr>
      <w:r>
        <w:rPr>
          <w:rFonts w:hint="eastAsia" w:asciiTheme="majorEastAsia" w:hAnsiTheme="majorEastAsia" w:eastAsiaTheme="majorEastAsia"/>
          <w:b/>
          <w:sz w:val="48"/>
          <w:szCs w:val="48"/>
        </w:rPr>
        <w:t>招标代理</w:t>
      </w: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rFonts w:ascii="微软雅黑" w:hAnsi="微软雅黑" w:eastAsia="微软雅黑"/>
          <w:b/>
          <w:szCs w:val="21"/>
        </w:rPr>
      </w:pPr>
    </w:p>
    <w:p>
      <w:pPr>
        <w:jc w:val="center"/>
        <w:rPr>
          <w:sz w:val="36"/>
        </w:rPr>
      </w:pPr>
      <w:r>
        <w:rPr>
          <w:rFonts w:hint="eastAsia"/>
          <w:b/>
          <w:sz w:val="32"/>
          <w:szCs w:val="32"/>
        </w:rPr>
        <w:t>广联达科技股份有限公司</w:t>
      </w:r>
    </w:p>
    <w:p>
      <w:pPr>
        <w:jc w:val="center"/>
        <w:rPr>
          <w:b/>
          <w:sz w:val="32"/>
          <w:szCs w:val="28"/>
        </w:rPr>
      </w:pPr>
      <w:r>
        <w:rPr>
          <w:b/>
          <w:sz w:val="32"/>
          <w:szCs w:val="28"/>
        </w:rPr>
        <w:t>202</w:t>
      </w:r>
      <w:r>
        <w:rPr>
          <w:rFonts w:hint="eastAsia"/>
          <w:b/>
          <w:sz w:val="32"/>
          <w:szCs w:val="28"/>
          <w:lang w:val="en-US" w:eastAsia="zh-CN"/>
        </w:rPr>
        <w:t>3</w:t>
      </w:r>
      <w:r>
        <w:rPr>
          <w:b/>
          <w:sz w:val="32"/>
          <w:szCs w:val="28"/>
        </w:rPr>
        <w:t>年</w:t>
      </w:r>
      <w:r>
        <w:rPr>
          <w:rFonts w:hint="eastAsia"/>
          <w:b/>
          <w:sz w:val="32"/>
          <w:szCs w:val="28"/>
          <w:lang w:val="en-US" w:eastAsia="zh-CN"/>
        </w:rPr>
        <w:t>8</w:t>
      </w:r>
      <w:r>
        <w:rPr>
          <w:rFonts w:hint="eastAsia"/>
          <w:b/>
          <w:sz w:val="32"/>
          <w:szCs w:val="28"/>
        </w:rPr>
        <w:t>月</w:t>
      </w: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
      <w:pPr>
        <w:jc w:val="center"/>
        <w:rPr>
          <w:rFonts w:hint="default" w:eastAsia="宋体"/>
          <w:b/>
          <w:color w:val="2E75B6" w:themeColor="accent1" w:themeShade="BF"/>
          <w:sz w:val="44"/>
          <w:szCs w:val="44"/>
          <w:lang w:val="en-US" w:eastAsia="zh-CN"/>
        </w:rPr>
      </w:pPr>
      <w:r>
        <w:rPr>
          <w:rFonts w:hint="eastAsia"/>
          <w:b/>
          <w:color w:val="2E75B6" w:themeColor="accent1" w:themeShade="BF"/>
          <w:sz w:val="44"/>
          <w:szCs w:val="44"/>
          <w:lang w:val="en-US" w:eastAsia="zh-CN"/>
        </w:rPr>
        <w:t>目  录</w:t>
      </w:r>
    </w:p>
    <w:p>
      <w:pPr>
        <w:pStyle w:val="13"/>
        <w:tabs>
          <w:tab w:val="right" w:leader="dot" w:pos="10467"/>
        </w:tabs>
        <w:rPr>
          <w:rFonts w:hint="eastAsia" w:ascii="宋体" w:hAnsi="宋体" w:eastAsia="宋体" w:cs="宋体"/>
          <w:i w:val="0"/>
          <w:iCs w:val="0"/>
          <w:sz w:val="24"/>
          <w:szCs w:val="24"/>
        </w:rPr>
      </w:pPr>
      <w:r>
        <w:rPr>
          <w:rFonts w:hint="eastAsia" w:ascii="宋体" w:hAnsi="宋体" w:eastAsia="宋体" w:cs="宋体"/>
          <w:b/>
          <w:i w:val="0"/>
          <w:iCs w:val="0"/>
          <w:sz w:val="24"/>
          <w:szCs w:val="24"/>
        </w:rPr>
        <w:fldChar w:fldCharType="begin"/>
      </w:r>
      <w:r>
        <w:rPr>
          <w:rFonts w:hint="eastAsia" w:ascii="宋体" w:hAnsi="宋体" w:eastAsia="宋体" w:cs="宋体"/>
          <w:b/>
          <w:i w:val="0"/>
          <w:iCs w:val="0"/>
          <w:sz w:val="24"/>
          <w:szCs w:val="24"/>
        </w:rPr>
        <w:instrText xml:space="preserve">TOC \o "1-3" \h \u </w:instrText>
      </w:r>
      <w:r>
        <w:rPr>
          <w:rFonts w:hint="eastAsia" w:ascii="宋体" w:hAnsi="宋体" w:eastAsia="宋体" w:cs="宋体"/>
          <w:b/>
          <w:i w:val="0"/>
          <w:iCs w:val="0"/>
          <w:sz w:val="24"/>
          <w:szCs w:val="24"/>
        </w:rPr>
        <w:fldChar w:fldCharType="separate"/>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_Toc25857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第一章 概述</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_Toc25857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4</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_Toc25765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1.1. 手册编写目的</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_Toc25765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4</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_Toc21937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1.2. 操作概述</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_Toc21937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5</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3"/>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_Toc24208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第二章 操作流程</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_Toc24208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6</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_Toc27680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2.1. 系统登录</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_Toc27680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6</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_Toc22106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kern w:val="2"/>
          <w:sz w:val="24"/>
          <w:szCs w:val="24"/>
          <w:lang w:val="en-US" w:eastAsia="zh-CN" w:bidi="ar-SA"/>
        </w:rPr>
        <w:t>招标代理选择CA方式登录</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_Toc22106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6</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_Toc31897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2.2. 项目</w:t>
      </w:r>
      <w:r>
        <w:rPr>
          <w:rFonts w:hint="eastAsia" w:ascii="宋体" w:hAnsi="宋体" w:eastAsia="宋体" w:cs="宋体"/>
          <w:i w:val="0"/>
          <w:iCs w:val="0"/>
          <w:sz w:val="24"/>
          <w:szCs w:val="24"/>
          <w:lang w:val="en-US" w:eastAsia="zh-CN"/>
        </w:rPr>
        <w:t>入场登记</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_Toc31897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8</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_Toc16901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rPr>
        <w:t>2.2.1. 基本信息填写</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_Toc16901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8</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_Toc21622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rPr>
        <w:t xml:space="preserve">2.3. </w:t>
      </w:r>
      <w:r>
        <w:rPr>
          <w:rFonts w:hint="eastAsia" w:ascii="宋体" w:hAnsi="宋体" w:eastAsia="宋体" w:cs="宋体"/>
          <w:i w:val="0"/>
          <w:iCs w:val="0"/>
          <w:sz w:val="24"/>
          <w:szCs w:val="24"/>
          <w:lang w:val="en-US" w:eastAsia="zh-CN"/>
        </w:rPr>
        <w:t>我的招标项目</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_Toc21622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10</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_Toc4981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rPr>
        <w:t xml:space="preserve">2.4. </w:t>
      </w:r>
      <w:r>
        <w:rPr>
          <w:rFonts w:hint="eastAsia" w:ascii="宋体" w:hAnsi="宋体" w:eastAsia="宋体" w:cs="宋体"/>
          <w:i w:val="0"/>
          <w:iCs w:val="0"/>
          <w:sz w:val="24"/>
          <w:szCs w:val="24"/>
          <w:lang w:val="en-US" w:eastAsia="zh-CN"/>
        </w:rPr>
        <w:t>招标公告阶段</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_Toc4981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11</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_Toc22579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2.4.1项目概况</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_Toc22579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11</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_Toc5815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2.4.2招标场地预约及变更</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_Toc5815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11</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_Toc16164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2.4.3招标公告编制</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_Toc16164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12</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_Toc15199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2.4.4招标文件编制</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_Toc15199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14</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_Toc16852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2.4.5澄清与答疑</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_Toc16852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15</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_Toc27123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2.4.6招标控制价备案</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_Toc27123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17</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_Toc30802 </w:instrText>
      </w:r>
      <w:r>
        <w:rPr>
          <w:rFonts w:hint="eastAsia" w:ascii="宋体" w:hAnsi="宋体" w:eastAsia="宋体" w:cs="宋体"/>
          <w:i w:val="0"/>
          <w:iCs w:val="0"/>
          <w:sz w:val="24"/>
          <w:szCs w:val="24"/>
        </w:rPr>
        <w:fldChar w:fldCharType="separate"/>
      </w:r>
      <w:r>
        <w:rPr>
          <w:rFonts w:hint="eastAsia" w:ascii="宋体" w:hAnsi="宋体" w:eastAsia="宋体" w:cs="宋体"/>
          <w:bCs/>
          <w:i w:val="0"/>
          <w:iCs w:val="0"/>
          <w:sz w:val="24"/>
          <w:szCs w:val="24"/>
          <w:lang w:val="en-US" w:eastAsia="zh-CN"/>
        </w:rPr>
        <w:t>2.4.7招标远程开标</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_Toc30802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17</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_Toc19829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 开标流程</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_Toc19829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18</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_Toc20474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2.5.1、开标准备</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_Toc20474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18</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_Toc31379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2.5.2、公布投标人名单</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_Toc31379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19</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_Toc31870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2.5.3、第一信封投标文件解密</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_Toc31870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19</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_Toc26888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2.5.4、发起异议</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_Toc26888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20</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_Toc9786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2.5.5、第一信封唱标</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_Toc9786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20</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_Toc6437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2.5.6、第一信封开标结束</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_Toc6437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21</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_Toc26643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2.5.7公布第一信封评标结束</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_Toc26643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21</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_Toc20136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2.5.8系数抽取</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_Toc20136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22</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_Toc377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2.5.9第二信封唱标</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_Toc377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22</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_Toc21321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2.5.10计算并宣布评标基准价</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_Toc21321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23</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_Toc1342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2.5.11、发起异议</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_Toc1342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23</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_Toc1698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2.5.12第二信封开标结束</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_Toc1698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24</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_Toc21599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rPr>
        <w:t xml:space="preserve">3、 </w:t>
      </w:r>
      <w:r>
        <w:rPr>
          <w:rFonts w:hint="eastAsia" w:ascii="宋体" w:hAnsi="宋体" w:eastAsia="宋体" w:cs="宋体"/>
          <w:i w:val="0"/>
          <w:iCs w:val="0"/>
          <w:sz w:val="24"/>
          <w:szCs w:val="24"/>
          <w:lang w:val="en-US" w:eastAsia="zh-CN"/>
        </w:rPr>
        <w:t>开评标阶段</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_Toc21599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25</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_Toc28251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3</w:t>
      </w:r>
      <w:r>
        <w:rPr>
          <w:rFonts w:hint="eastAsia" w:ascii="宋体" w:hAnsi="宋体" w:eastAsia="宋体" w:cs="宋体"/>
          <w:i w:val="0"/>
          <w:iCs w:val="0"/>
          <w:sz w:val="24"/>
          <w:szCs w:val="24"/>
          <w:lang w:val="en-US"/>
        </w:rPr>
        <w:t>.1</w:t>
      </w:r>
      <w:r>
        <w:rPr>
          <w:rFonts w:hint="eastAsia" w:ascii="宋体" w:hAnsi="宋体" w:eastAsia="宋体" w:cs="宋体"/>
          <w:i w:val="0"/>
          <w:iCs w:val="0"/>
          <w:sz w:val="24"/>
          <w:szCs w:val="24"/>
          <w:lang w:eastAsia="zh-CN"/>
        </w:rPr>
        <w:t>、报价形式设置</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_Toc28251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25</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_Toc27645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3.2开标结果记录表（第一信封）</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_Toc27645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25</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_Toc20679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3.3评标结果记录表（第一信封）</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_Toc20679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25</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_Toc2057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eastAsia="zh-CN"/>
        </w:rPr>
        <w:t>3.4开标结果记录表（第二信封）/评标结果记录表（第二信封）</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_Toc2057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26</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17"/>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_Toc30034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lang w:val="en-US"/>
        </w:rPr>
        <w:t xml:space="preserve">4、 </w:t>
      </w:r>
      <w:r>
        <w:rPr>
          <w:rFonts w:hint="eastAsia" w:ascii="宋体" w:hAnsi="宋体" w:eastAsia="宋体" w:cs="宋体"/>
          <w:i w:val="0"/>
          <w:iCs w:val="0"/>
          <w:sz w:val="24"/>
          <w:szCs w:val="24"/>
          <w:lang w:val="en-US" w:eastAsia="zh-CN"/>
        </w:rPr>
        <w:t>定标阶段</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_Toc30034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26</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_Toc26745 </w:instrText>
      </w:r>
      <w:r>
        <w:rPr>
          <w:rFonts w:hint="eastAsia" w:ascii="宋体" w:hAnsi="宋体" w:eastAsia="宋体" w:cs="宋体"/>
          <w:i w:val="0"/>
          <w:iCs w:val="0"/>
          <w:sz w:val="24"/>
          <w:szCs w:val="24"/>
        </w:rPr>
        <w:fldChar w:fldCharType="separate"/>
      </w:r>
      <w:r>
        <w:rPr>
          <w:rFonts w:hint="eastAsia" w:ascii="宋体" w:hAnsi="宋体" w:eastAsia="宋体" w:cs="宋体"/>
          <w:bCs w:val="0"/>
          <w:i w:val="0"/>
          <w:iCs w:val="0"/>
          <w:kern w:val="28"/>
          <w:sz w:val="24"/>
          <w:szCs w:val="24"/>
          <w:lang w:val="en-US" w:eastAsia="zh-CN" w:bidi="ar"/>
        </w:rPr>
        <w:t>4.1中标候选人公示</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_Toc26745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26</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pStyle w:val="8"/>
        <w:tabs>
          <w:tab w:val="right" w:leader="dot" w:pos="10467"/>
        </w:tabs>
        <w:rPr>
          <w:rFonts w:hint="eastAsia" w:ascii="宋体" w:hAnsi="宋体" w:eastAsia="宋体" w:cs="宋体"/>
          <w:i w:val="0"/>
          <w:iCs w:val="0"/>
          <w:sz w:val="24"/>
          <w:szCs w:val="24"/>
        </w:rPr>
      </w:pP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HYPERLINK \l _Toc16751 </w:instrText>
      </w:r>
      <w:r>
        <w:rPr>
          <w:rFonts w:hint="eastAsia" w:ascii="宋体" w:hAnsi="宋体" w:eastAsia="宋体" w:cs="宋体"/>
          <w:i w:val="0"/>
          <w:iCs w:val="0"/>
          <w:sz w:val="24"/>
          <w:szCs w:val="24"/>
        </w:rPr>
        <w:fldChar w:fldCharType="separate"/>
      </w:r>
      <w:r>
        <w:rPr>
          <w:rFonts w:hint="eastAsia" w:ascii="宋体" w:hAnsi="宋体" w:eastAsia="宋体" w:cs="宋体"/>
          <w:bCs w:val="0"/>
          <w:i w:val="0"/>
          <w:iCs w:val="0"/>
          <w:kern w:val="28"/>
          <w:sz w:val="24"/>
          <w:szCs w:val="24"/>
          <w:lang w:val="en-US" w:eastAsia="zh-CN" w:bidi="ar"/>
        </w:rPr>
        <w:t>4.2中标结果公告</w:t>
      </w:r>
      <w:r>
        <w:rPr>
          <w:rFonts w:hint="eastAsia" w:ascii="宋体" w:hAnsi="宋体" w:eastAsia="宋体" w:cs="宋体"/>
          <w:i w:val="0"/>
          <w:iCs w:val="0"/>
          <w:sz w:val="24"/>
          <w:szCs w:val="24"/>
        </w:rPr>
        <w:tab/>
      </w:r>
      <w:r>
        <w:rPr>
          <w:rFonts w:hint="eastAsia" w:ascii="宋体" w:hAnsi="宋体" w:eastAsia="宋体" w:cs="宋体"/>
          <w:i w:val="0"/>
          <w:iCs w:val="0"/>
          <w:sz w:val="24"/>
          <w:szCs w:val="24"/>
        </w:rPr>
        <w:fldChar w:fldCharType="begin"/>
      </w:r>
      <w:r>
        <w:rPr>
          <w:rFonts w:hint="eastAsia" w:ascii="宋体" w:hAnsi="宋体" w:eastAsia="宋体" w:cs="宋体"/>
          <w:i w:val="0"/>
          <w:iCs w:val="0"/>
          <w:sz w:val="24"/>
          <w:szCs w:val="24"/>
        </w:rPr>
        <w:instrText xml:space="preserve"> PAGEREF _Toc16751 \h </w:instrText>
      </w:r>
      <w:r>
        <w:rPr>
          <w:rFonts w:hint="eastAsia" w:ascii="宋体" w:hAnsi="宋体" w:eastAsia="宋体" w:cs="宋体"/>
          <w:i w:val="0"/>
          <w:iCs w:val="0"/>
          <w:sz w:val="24"/>
          <w:szCs w:val="24"/>
        </w:rPr>
        <w:fldChar w:fldCharType="separate"/>
      </w:r>
      <w:r>
        <w:rPr>
          <w:rFonts w:hint="eastAsia" w:ascii="宋体" w:hAnsi="宋体" w:eastAsia="宋体" w:cs="宋体"/>
          <w:i w:val="0"/>
          <w:iCs w:val="0"/>
          <w:sz w:val="24"/>
          <w:szCs w:val="24"/>
        </w:rPr>
        <w:t>27</w:t>
      </w:r>
      <w:r>
        <w:rPr>
          <w:rFonts w:hint="eastAsia" w:ascii="宋体" w:hAnsi="宋体" w:eastAsia="宋体" w:cs="宋体"/>
          <w:i w:val="0"/>
          <w:iCs w:val="0"/>
          <w:sz w:val="24"/>
          <w:szCs w:val="24"/>
        </w:rPr>
        <w:fldChar w:fldCharType="end"/>
      </w:r>
      <w:r>
        <w:rPr>
          <w:rFonts w:hint="eastAsia" w:ascii="宋体" w:hAnsi="宋体" w:eastAsia="宋体" w:cs="宋体"/>
          <w:i w:val="0"/>
          <w:iCs w:val="0"/>
          <w:sz w:val="24"/>
          <w:szCs w:val="24"/>
        </w:rPr>
        <w:fldChar w:fldCharType="end"/>
      </w:r>
    </w:p>
    <w:p>
      <w:pPr>
        <w:jc w:val="center"/>
        <w:rPr>
          <w:rFonts w:hint="eastAsia" w:ascii="宋体" w:hAnsi="宋体" w:eastAsia="宋体" w:cs="宋体"/>
          <w:b/>
          <w:i w:val="0"/>
          <w:iCs w:val="0"/>
          <w:sz w:val="24"/>
          <w:szCs w:val="24"/>
        </w:rPr>
      </w:pPr>
      <w:r>
        <w:rPr>
          <w:rFonts w:hint="eastAsia" w:ascii="宋体" w:hAnsi="宋体" w:eastAsia="宋体" w:cs="宋体"/>
          <w:i w:val="0"/>
          <w:iCs w:val="0"/>
          <w:sz w:val="24"/>
          <w:szCs w:val="24"/>
        </w:rPr>
        <w:fldChar w:fldCharType="end"/>
      </w: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Pr>
        <w:jc w:val="center"/>
        <w:rPr>
          <w:b/>
          <w:sz w:val="32"/>
          <w:szCs w:val="28"/>
        </w:rPr>
      </w:pPr>
    </w:p>
    <w:p/>
    <w:p/>
    <w:p/>
    <w:p/>
    <w:p/>
    <w:p/>
    <w:p/>
    <w:p/>
    <w:p/>
    <w:p/>
    <w:p/>
    <w:p>
      <w:pPr>
        <w:pStyle w:val="2"/>
      </w:pPr>
      <w:bookmarkStart w:id="0" w:name="_Toc505190403"/>
      <w:bookmarkStart w:id="1" w:name="_Toc500231383"/>
      <w:bookmarkStart w:id="2" w:name="_Toc25857"/>
      <w:bookmarkStart w:id="3" w:name="_Toc22109"/>
      <w:r>
        <w:t>概述</w:t>
      </w:r>
      <w:bookmarkEnd w:id="0"/>
      <w:bookmarkEnd w:id="1"/>
      <w:bookmarkEnd w:id="2"/>
      <w:bookmarkEnd w:id="3"/>
    </w:p>
    <w:p>
      <w:pPr>
        <w:pStyle w:val="28"/>
        <w:ind w:left="807" w:right="240"/>
      </w:pPr>
      <w:bookmarkStart w:id="4" w:name="_Toc14059"/>
      <w:bookmarkStart w:id="5" w:name="_Toc500231384"/>
      <w:bookmarkStart w:id="6" w:name="_Toc25765"/>
      <w:bookmarkStart w:id="7" w:name="_Toc505190404"/>
      <w:r>
        <w:rPr>
          <w:rFonts w:hint="eastAsia"/>
        </w:rPr>
        <w:t>手册编写</w:t>
      </w:r>
      <w:r>
        <w:t>目的</w:t>
      </w:r>
      <w:bookmarkEnd w:id="4"/>
      <w:bookmarkEnd w:id="5"/>
      <w:bookmarkEnd w:id="6"/>
      <w:bookmarkEnd w:id="7"/>
    </w:p>
    <w:p/>
    <w:p>
      <w:pPr>
        <w:jc w:val="left"/>
        <w:rPr>
          <w:szCs w:val="28"/>
        </w:rPr>
      </w:pPr>
      <w:r>
        <w:rPr>
          <w:rFonts w:hint="eastAsia"/>
          <w:szCs w:val="28"/>
        </w:rPr>
        <w:t>本手册的阅读对象为：招标代理。</w:t>
      </w:r>
    </w:p>
    <w:p>
      <w:pPr>
        <w:jc w:val="left"/>
        <w:rPr>
          <w:szCs w:val="28"/>
        </w:rPr>
      </w:pPr>
      <w:r>
        <w:rPr>
          <w:rFonts w:hint="eastAsia"/>
          <w:szCs w:val="28"/>
        </w:rPr>
        <w:t>本手册旨在对</w:t>
      </w:r>
      <w:r>
        <w:rPr>
          <w:rFonts w:hint="eastAsia"/>
        </w:rPr>
        <w:t>西安市公共资源交易中心交通交易系统</w:t>
      </w:r>
      <w:r>
        <w:rPr>
          <w:rFonts w:hint="eastAsia"/>
          <w:szCs w:val="28"/>
        </w:rPr>
        <w:t>的主要功能和操作界面作简要说明，方便招标代理对</w:t>
      </w:r>
      <w:r>
        <w:rPr>
          <w:rFonts w:hint="eastAsia"/>
          <w:szCs w:val="28"/>
          <w:lang w:val="en-US" w:eastAsia="zh-CN"/>
        </w:rPr>
        <w:t>交通</w:t>
      </w:r>
      <w:r>
        <w:rPr>
          <w:szCs w:val="28"/>
        </w:rPr>
        <w:t>系统</w:t>
      </w:r>
      <w:r>
        <w:rPr>
          <w:rFonts w:hint="eastAsia"/>
          <w:szCs w:val="28"/>
        </w:rPr>
        <w:t>的熟悉及使用，希望能够对参与招标代理有所帮助。</w:t>
      </w:r>
    </w:p>
    <w:p>
      <w:pPr>
        <w:jc w:val="left"/>
        <w:rPr>
          <w:szCs w:val="28"/>
        </w:rPr>
      </w:pPr>
      <w:r>
        <w:rPr>
          <w:rFonts w:hint="eastAsia"/>
          <w:szCs w:val="28"/>
        </w:rPr>
        <w:t>请各招标代理认真阅读，以便能够准确高效的完成招标工作。</w:t>
      </w:r>
    </w:p>
    <w:p>
      <w:pPr>
        <w:jc w:val="left"/>
      </w:pPr>
    </w:p>
    <w:p>
      <w:pPr>
        <w:pStyle w:val="28"/>
        <w:ind w:left="807" w:right="240"/>
      </w:pPr>
      <w:bookmarkStart w:id="8" w:name="_Toc20144"/>
      <w:bookmarkStart w:id="9" w:name="_Toc500231385"/>
      <w:bookmarkStart w:id="10" w:name="_Toc505190405"/>
      <w:bookmarkStart w:id="11" w:name="_Toc21937"/>
      <w:r>
        <w:rPr>
          <w:rFonts w:hint="eastAsia"/>
        </w:rPr>
        <w:t>操作概述</w:t>
      </w:r>
      <w:bookmarkEnd w:id="8"/>
      <w:bookmarkEnd w:id="9"/>
      <w:bookmarkEnd w:id="10"/>
      <w:bookmarkEnd w:id="11"/>
    </w:p>
    <w:p/>
    <w:p>
      <w:pPr>
        <w:rPr>
          <w:szCs w:val="28"/>
        </w:rPr>
      </w:pPr>
      <w:r>
        <w:rPr>
          <w:rFonts w:hint="eastAsia"/>
        </w:rPr>
        <w:t>本手册适合招标代理在西安市公共资源交易中心交通交易系统进行登录使用，提供对</w:t>
      </w:r>
      <w:r>
        <w:rPr>
          <w:rFonts w:hint="eastAsia"/>
          <w:szCs w:val="28"/>
        </w:rPr>
        <w:t>交易过程各环节进行操作。</w:t>
      </w:r>
    </w:p>
    <w:p>
      <w:pPr>
        <w:rPr>
          <w:szCs w:val="28"/>
        </w:rPr>
      </w:pPr>
      <w:r>
        <w:rPr>
          <w:rFonts w:hint="eastAsia"/>
          <w:szCs w:val="28"/>
        </w:rPr>
        <w:t>招标代理在</w:t>
      </w:r>
      <w:r>
        <w:rPr>
          <w:rFonts w:hint="eastAsia"/>
          <w:szCs w:val="28"/>
          <w:lang w:val="en-US" w:eastAsia="zh-CN"/>
        </w:rPr>
        <w:t>交易</w:t>
      </w:r>
      <w:r>
        <w:rPr>
          <w:szCs w:val="28"/>
        </w:rPr>
        <w:t>系统上</w:t>
      </w:r>
      <w:r>
        <w:rPr>
          <w:rFonts w:hint="eastAsia"/>
          <w:szCs w:val="28"/>
        </w:rPr>
        <w:t>的操作有：项目</w:t>
      </w:r>
      <w:r>
        <w:rPr>
          <w:rFonts w:hint="eastAsia"/>
          <w:szCs w:val="28"/>
          <w:lang w:val="en-US" w:eastAsia="zh-CN"/>
        </w:rPr>
        <w:t>入场登记</w:t>
      </w:r>
      <w:r>
        <w:rPr>
          <w:rFonts w:hint="eastAsia"/>
          <w:szCs w:val="28"/>
        </w:rPr>
        <w:t>、</w:t>
      </w:r>
      <w:r>
        <w:rPr>
          <w:rFonts w:hint="eastAsia"/>
          <w:szCs w:val="28"/>
          <w:lang w:val="en-US" w:eastAsia="zh-CN"/>
        </w:rPr>
        <w:t>我的招标项目</w:t>
      </w:r>
      <w:r>
        <w:rPr>
          <w:rFonts w:hint="eastAsia"/>
          <w:szCs w:val="28"/>
        </w:rPr>
        <w:t>、</w:t>
      </w:r>
      <w:r>
        <w:rPr>
          <w:rFonts w:hint="eastAsia"/>
          <w:szCs w:val="28"/>
          <w:lang w:val="en-US" w:eastAsia="zh-CN"/>
        </w:rPr>
        <w:t>定标环节</w:t>
      </w:r>
      <w:r>
        <w:rPr>
          <w:szCs w:val="28"/>
        </w:rPr>
        <w:t>、</w:t>
      </w:r>
      <w:r>
        <w:rPr>
          <w:rFonts w:hint="eastAsia"/>
          <w:szCs w:val="28"/>
          <w:lang w:val="en-US" w:eastAsia="zh-CN"/>
        </w:rPr>
        <w:t>项目异常管理</w:t>
      </w:r>
      <w:r>
        <w:rPr>
          <w:rFonts w:hint="eastAsia"/>
          <w:szCs w:val="28"/>
        </w:rPr>
        <w:t>、</w:t>
      </w:r>
      <w:r>
        <w:rPr>
          <w:rFonts w:hint="eastAsia"/>
          <w:szCs w:val="28"/>
          <w:lang w:val="en-US" w:eastAsia="zh-CN"/>
        </w:rPr>
        <w:t>专家抽取管理</w:t>
      </w:r>
      <w:r>
        <w:rPr>
          <w:szCs w:val="28"/>
        </w:rPr>
        <w:t>、</w:t>
      </w:r>
      <w:r>
        <w:rPr>
          <w:rFonts w:hint="eastAsia"/>
          <w:szCs w:val="28"/>
          <w:lang w:val="en-US" w:eastAsia="zh-CN"/>
        </w:rPr>
        <w:t>保证金管理系统</w:t>
      </w:r>
      <w:r>
        <w:rPr>
          <w:szCs w:val="28"/>
        </w:rPr>
        <w:t>等</w:t>
      </w:r>
      <w:r>
        <w:rPr>
          <w:rFonts w:hint="eastAsia"/>
          <w:szCs w:val="28"/>
        </w:rPr>
        <w:t>。</w:t>
      </w:r>
    </w:p>
    <w:p/>
    <w:p/>
    <w:p/>
    <w:p/>
    <w:p/>
    <w:p/>
    <w:p/>
    <w:p/>
    <w:p/>
    <w:p/>
    <w:p/>
    <w:p/>
    <w:p>
      <w:pPr>
        <w:widowControl/>
        <w:spacing w:line="240" w:lineRule="auto"/>
        <w:jc w:val="left"/>
      </w:pPr>
      <w:r>
        <w:br w:type="page"/>
      </w:r>
    </w:p>
    <w:p>
      <w:pPr>
        <w:pStyle w:val="2"/>
      </w:pPr>
      <w:bookmarkStart w:id="12" w:name="_Toc24208"/>
      <w:bookmarkStart w:id="13" w:name="_Toc500231386"/>
      <w:bookmarkStart w:id="14" w:name="_Toc505190406"/>
      <w:bookmarkStart w:id="15" w:name="_Toc31624"/>
      <w:r>
        <w:rPr>
          <w:rFonts w:hint="eastAsia"/>
        </w:rPr>
        <w:t>操作流程</w:t>
      </w:r>
      <w:bookmarkEnd w:id="12"/>
      <w:bookmarkEnd w:id="13"/>
      <w:bookmarkEnd w:id="14"/>
      <w:bookmarkEnd w:id="15"/>
    </w:p>
    <w:p>
      <w:pPr>
        <w:pStyle w:val="28"/>
        <w:ind w:left="807" w:right="240"/>
      </w:pPr>
      <w:bookmarkStart w:id="16" w:name="_Toc505190411"/>
      <w:bookmarkStart w:id="17" w:name="_Toc27680"/>
      <w:bookmarkStart w:id="18" w:name="_Toc32499"/>
      <w:bookmarkStart w:id="19" w:name="_Toc500231388"/>
      <w:r>
        <w:t>系统登录</w:t>
      </w:r>
      <w:bookmarkEnd w:id="16"/>
      <w:bookmarkEnd w:id="17"/>
      <w:bookmarkEnd w:id="18"/>
      <w:bookmarkEnd w:id="19"/>
    </w:p>
    <w:p>
      <w:pPr>
        <w:widowControl/>
        <w:spacing w:line="240" w:lineRule="auto"/>
        <w:jc w:val="left"/>
        <w:rPr>
          <w:rFonts w:hint="eastAsia"/>
          <w:b/>
          <w:bCs/>
          <w:lang w:val="en-US" w:eastAsia="zh-CN"/>
        </w:rPr>
      </w:pPr>
      <w:bookmarkStart w:id="20" w:name="_Toc7891"/>
      <w:bookmarkStart w:id="21" w:name="_Toc505190412"/>
      <w:r>
        <w:rPr>
          <w:rFonts w:hint="eastAsia"/>
          <w:b/>
          <w:bCs/>
          <w:lang w:val="en-US" w:eastAsia="zh-CN"/>
        </w:rPr>
        <w:t>登录入口</w:t>
      </w:r>
      <w:bookmarkEnd w:id="20"/>
      <w:bookmarkEnd w:id="21"/>
    </w:p>
    <w:p>
      <w:pPr>
        <w:ind w:firstLine="720" w:firstLineChars="300"/>
      </w:pPr>
      <w:r>
        <w:rPr>
          <w:rFonts w:hint="eastAsia"/>
        </w:rPr>
        <w:t>进入</w:t>
      </w:r>
      <w:r>
        <w:rPr>
          <w:rFonts w:hint="eastAsia"/>
          <w:lang w:val="en-US" w:eastAsia="zh-CN"/>
        </w:rPr>
        <w:t>西安市</w:t>
      </w:r>
      <w:r>
        <w:t>公共资源交易服务平台门户网站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"http://124.115.168.54:6780/gb-web" </w:instrText>
      </w:r>
      <w:r>
        <w:rPr>
          <w:color w:val="000000" w:themeColor="text1"/>
          <w14:textFill>
            <w14:solidFill>
              <w14:schemeClr w14:val="tx1"/>
            </w14:solidFill>
          </w14:textFill>
        </w:rPr>
        <w:fldChar w:fldCharType="separate"/>
      </w:r>
      <w:r>
        <w:rPr>
          <w:rFonts w:hint="default"/>
          <w:color w:val="000000" w:themeColor="text1"/>
          <w14:textFill>
            <w14:solidFill>
              <w14:schemeClr w14:val="tx1"/>
            </w14:solidFill>
          </w14:textFill>
        </w:rPr>
        <w:t>http://124.115.168.54:6780/gb-web</w:t>
      </w:r>
      <w:r>
        <w:rPr>
          <w:rFonts w:hint="default"/>
          <w:color w:val="000000" w:themeColor="text1"/>
          <w14:textFill>
            <w14:solidFill>
              <w14:schemeClr w14:val="tx1"/>
            </w14:solidFill>
          </w14:textFill>
        </w:rPr>
        <w:fldChar w:fldCharType="end"/>
      </w:r>
      <w:r>
        <w:rPr>
          <w:color w:val="000000" w:themeColor="text1"/>
          <w14:textFill>
            <w14:solidFill>
              <w14:schemeClr w14:val="tx1"/>
            </w14:solidFill>
          </w14:textFill>
        </w:rPr>
        <w:t>）</w:t>
      </w:r>
      <w:r>
        <w:rPr>
          <w:rFonts w:hint="eastAsia"/>
        </w:rPr>
        <w:t>，</w:t>
      </w:r>
      <w:r>
        <w:t>点击页面</w:t>
      </w:r>
      <w:r>
        <w:rPr>
          <w:rFonts w:hint="eastAsia"/>
          <w:lang w:val="en-US" w:eastAsia="zh-CN"/>
        </w:rPr>
        <w:t>进入交易系统</w:t>
      </w:r>
      <w:r>
        <w:rPr>
          <w:rFonts w:hint="eastAsia"/>
        </w:rPr>
        <w:t>，</w:t>
      </w:r>
      <w:r>
        <w:t>选择</w:t>
      </w:r>
      <w:r>
        <w:rPr>
          <w:rFonts w:hint="eastAsia"/>
          <w:lang w:eastAsia="zh-CN"/>
        </w:rPr>
        <w:t>“</w:t>
      </w:r>
      <w:r>
        <w:rPr>
          <w:rFonts w:hint="eastAsia"/>
          <w:lang w:val="en-US" w:eastAsia="zh-CN"/>
        </w:rPr>
        <w:t>招标人/代理</w:t>
      </w:r>
      <w:r>
        <w:rPr>
          <w:rFonts w:hint="eastAsia"/>
          <w:lang w:eastAsia="zh-CN"/>
        </w:rPr>
        <w:t>”</w:t>
      </w:r>
      <w:r>
        <w:rPr>
          <w:rFonts w:hint="eastAsia"/>
        </w:rPr>
        <w:t>，</w:t>
      </w:r>
      <w:r>
        <w:t>单击</w:t>
      </w:r>
      <w:r>
        <w:rPr>
          <w:rFonts w:hint="eastAsia"/>
        </w:rPr>
        <w:t>。</w:t>
      </w:r>
      <w:r>
        <w:rPr>
          <w:rFonts w:hint="eastAsia"/>
          <w:szCs w:val="28"/>
          <w:lang w:val="en-US" w:eastAsia="zh-CN"/>
        </w:rPr>
        <w:t>点击进入“西安市公共资源交易中心交通交易系统”。</w:t>
      </w:r>
    </w:p>
    <w:p>
      <w:r>
        <w:drawing>
          <wp:inline distT="0" distB="0" distL="114300" distR="114300">
            <wp:extent cx="6639560" cy="3039110"/>
            <wp:effectExtent l="0" t="0" r="2540" b="889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8"/>
                    <a:stretch>
                      <a:fillRect/>
                    </a:stretch>
                  </pic:blipFill>
                  <pic:spPr>
                    <a:xfrm>
                      <a:off x="0" y="0"/>
                      <a:ext cx="6639560" cy="3039110"/>
                    </a:xfrm>
                    <a:prstGeom prst="rect">
                      <a:avLst/>
                    </a:prstGeom>
                    <a:noFill/>
                    <a:ln>
                      <a:noFill/>
                    </a:ln>
                  </pic:spPr>
                </pic:pic>
              </a:graphicData>
            </a:graphic>
          </wp:inline>
        </w:drawing>
      </w:r>
    </w:p>
    <w:p>
      <w:r>
        <w:drawing>
          <wp:inline distT="0" distB="0" distL="114300" distR="114300">
            <wp:extent cx="6644005" cy="1717040"/>
            <wp:effectExtent l="0" t="0" r="10795" b="101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6644005" cy="1717040"/>
                    </a:xfrm>
                    <a:prstGeom prst="rect">
                      <a:avLst/>
                    </a:prstGeom>
                    <a:noFill/>
                    <a:ln>
                      <a:noFill/>
                    </a:ln>
                  </pic:spPr>
                </pic:pic>
              </a:graphicData>
            </a:graphic>
          </wp:inline>
        </w:drawing>
      </w:r>
    </w:p>
    <w:p>
      <w:pPr>
        <w:jc w:val="center"/>
      </w:pPr>
    </w:p>
    <w:p>
      <w:pPr>
        <w:widowControl/>
        <w:spacing w:line="240" w:lineRule="auto"/>
        <w:jc w:val="left"/>
        <w:rPr>
          <w:b/>
          <w:bCs/>
          <w:szCs w:val="28"/>
        </w:rPr>
      </w:pPr>
      <w:bookmarkStart w:id="22" w:name="_Toc505190413"/>
      <w:bookmarkStart w:id="23" w:name="_Toc9336"/>
      <w:r>
        <w:rPr>
          <w:rFonts w:hint="eastAsia"/>
          <w:b/>
          <w:bCs/>
          <w:lang w:val="en-US" w:eastAsia="zh-CN"/>
        </w:rPr>
        <w:t>2.2.2.</w:t>
      </w:r>
      <w:r>
        <w:rPr>
          <w:rFonts w:hint="eastAsia"/>
          <w:b/>
          <w:bCs/>
        </w:rPr>
        <w:t>CA登录</w:t>
      </w:r>
      <w:bookmarkEnd w:id="22"/>
      <w:bookmarkEnd w:id="23"/>
    </w:p>
    <w:p>
      <w:pPr>
        <w:pStyle w:val="27"/>
        <w:numPr>
          <w:ilvl w:val="2"/>
          <w:numId w:val="0"/>
        </w:numPr>
        <w:ind w:right="240" w:rightChars="100" w:firstLine="240" w:firstLineChars="100"/>
        <w:outlineLvl w:val="9"/>
        <w:rPr>
          <w:szCs w:val="28"/>
        </w:rPr>
      </w:pPr>
      <w:bookmarkStart w:id="24" w:name="_Toc22106"/>
      <w:bookmarkStart w:id="25" w:name="_Toc14940"/>
      <w:r>
        <w:rPr>
          <w:rFonts w:hint="eastAsia" w:ascii="Times New Roman" w:hAnsi="Times New Roman" w:eastAsia="宋体" w:cs="Times New Roman"/>
          <w:kern w:val="2"/>
          <w:sz w:val="24"/>
          <w:szCs w:val="28"/>
          <w:lang w:val="en-US" w:eastAsia="zh-CN" w:bidi="ar-SA"/>
        </w:rPr>
        <w:t>招标代理选择CA方式登录</w:t>
      </w:r>
      <w:bookmarkEnd w:id="24"/>
      <w:bookmarkEnd w:id="25"/>
    </w:p>
    <w:p>
      <w:pPr>
        <w:ind w:firstLine="720" w:firstLineChars="300"/>
        <w:rPr>
          <w:szCs w:val="28"/>
        </w:rPr>
      </w:pPr>
      <w:r>
        <w:rPr>
          <w:rFonts w:hint="eastAsia"/>
          <w:szCs w:val="28"/>
          <w:lang w:val="en-US" w:eastAsia="zh-CN"/>
        </w:rPr>
        <w:t>首先</w:t>
      </w:r>
      <w:r>
        <w:rPr>
          <w:rFonts w:hint="eastAsia"/>
          <w:szCs w:val="28"/>
        </w:rPr>
        <w:t>切换到CA登录界面，插入CA锁后</w:t>
      </w:r>
      <w:r>
        <w:rPr>
          <w:szCs w:val="28"/>
        </w:rPr>
        <w:t>输入密码</w:t>
      </w:r>
      <w:r>
        <w:rPr>
          <w:rFonts w:hint="eastAsia"/>
          <w:szCs w:val="28"/>
        </w:rPr>
        <w:t>（原始</w:t>
      </w:r>
      <w:r>
        <w:rPr>
          <w:szCs w:val="28"/>
        </w:rPr>
        <w:t>密码为</w:t>
      </w:r>
      <w:r>
        <w:rPr>
          <w:rFonts w:hint="eastAsia"/>
          <w:szCs w:val="28"/>
        </w:rPr>
        <w:t>111111</w:t>
      </w:r>
      <w:r>
        <w:rPr>
          <w:szCs w:val="28"/>
        </w:rPr>
        <w:t>），</w:t>
      </w:r>
      <w:r>
        <w:rPr>
          <w:rFonts w:hint="eastAsia"/>
          <w:szCs w:val="28"/>
        </w:rPr>
        <w:t>点击【登录】按钮完成登录。</w:t>
      </w:r>
    </w:p>
    <w:p>
      <w:pPr>
        <w:rPr>
          <w:color w:val="FF0000"/>
          <w:szCs w:val="28"/>
        </w:rPr>
      </w:pPr>
      <w:r>
        <w:rPr>
          <w:rFonts w:hint="eastAsia"/>
          <w:color w:val="FF0000"/>
          <w:szCs w:val="28"/>
        </w:rPr>
        <w:t>备注</w:t>
      </w:r>
      <w:r>
        <w:rPr>
          <w:color w:val="FF0000"/>
          <w:szCs w:val="28"/>
        </w:rPr>
        <w:t>：</w:t>
      </w:r>
      <w:r>
        <w:rPr>
          <w:rFonts w:hint="eastAsia"/>
          <w:color w:val="FF0000"/>
          <w:szCs w:val="28"/>
        </w:rPr>
        <w:t>第一次登录时请先下载CA锁驱动程序后使用。</w:t>
      </w:r>
      <w:r>
        <w:rPr>
          <w:rFonts w:hint="eastAsia"/>
          <w:szCs w:val="28"/>
        </w:rPr>
        <w:t>详见</w:t>
      </w:r>
      <w:r>
        <w:rPr>
          <w:rFonts w:hint="eastAsia"/>
          <w:szCs w:val="28"/>
          <w:lang w:val="en-US" w:eastAsia="zh-CN"/>
        </w:rPr>
        <w:t>首页-</w:t>
      </w:r>
      <w:r>
        <w:rPr>
          <w:rFonts w:hint="eastAsia"/>
          <w:szCs w:val="28"/>
        </w:rPr>
        <w:t>【下载</w:t>
      </w:r>
      <w:r>
        <w:rPr>
          <w:rFonts w:hint="eastAsia"/>
          <w:szCs w:val="28"/>
          <w:lang w:val="en-US" w:eastAsia="zh-CN"/>
        </w:rPr>
        <w:t>中心</w:t>
      </w:r>
      <w:r>
        <w:rPr>
          <w:rFonts w:hint="eastAsia"/>
          <w:szCs w:val="28"/>
        </w:rPr>
        <w:t>】</w:t>
      </w:r>
      <w:r>
        <w:rPr>
          <w:rFonts w:hint="eastAsia"/>
          <w:szCs w:val="28"/>
          <w:lang w:val="en-US" w:eastAsia="zh-CN"/>
        </w:rPr>
        <w:t>下</w:t>
      </w:r>
      <w:r>
        <w:rPr>
          <w:rFonts w:hint="eastAsia"/>
          <w:szCs w:val="28"/>
        </w:rPr>
        <w:t>载</w:t>
      </w:r>
      <w:r>
        <w:rPr>
          <w:rFonts w:hint="eastAsia"/>
          <w:szCs w:val="28"/>
          <w:lang w:val="en-US" w:eastAsia="zh-CN"/>
        </w:rPr>
        <w:t>多</w:t>
      </w:r>
      <w:r>
        <w:rPr>
          <w:rFonts w:hint="eastAsia"/>
          <w:szCs w:val="28"/>
        </w:rPr>
        <w:t>CA</w:t>
      </w:r>
      <w:r>
        <w:rPr>
          <w:rFonts w:hint="eastAsia"/>
          <w:szCs w:val="28"/>
          <w:lang w:val="en-US" w:eastAsia="zh-CN"/>
        </w:rPr>
        <w:t>驱动3.1（</w:t>
      </w:r>
      <w:r>
        <w:rPr>
          <w:rFonts w:hint="eastAsia"/>
          <w:color w:val="FF0000"/>
          <w:szCs w:val="28"/>
          <w:lang w:val="en-US" w:eastAsia="zh-CN"/>
        </w:rPr>
        <w:t>电脑已安装3.1驱动无需再次安装）</w:t>
      </w:r>
      <w:r>
        <w:rPr>
          <w:rFonts w:hint="eastAsia"/>
          <w:szCs w:val="28"/>
        </w:rPr>
        <w:t>。</w:t>
      </w:r>
    </w:p>
    <w:p>
      <w:pPr>
        <w:jc w:val="center"/>
      </w:pPr>
      <w:r>
        <w:drawing>
          <wp:inline distT="0" distB="0" distL="114300" distR="114300">
            <wp:extent cx="6640830" cy="2630170"/>
            <wp:effectExtent l="0" t="0" r="1270" b="1143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0"/>
                    <a:stretch>
                      <a:fillRect/>
                    </a:stretch>
                  </pic:blipFill>
                  <pic:spPr>
                    <a:xfrm>
                      <a:off x="0" y="0"/>
                      <a:ext cx="6640830" cy="2630170"/>
                    </a:xfrm>
                    <a:prstGeom prst="rect">
                      <a:avLst/>
                    </a:prstGeom>
                    <a:noFill/>
                    <a:ln>
                      <a:noFill/>
                    </a:ln>
                  </pic:spPr>
                </pic:pic>
              </a:graphicData>
            </a:graphic>
          </wp:inline>
        </w:drawing>
      </w:r>
    </w:p>
    <w:p>
      <w:pPr>
        <w:jc w:val="center"/>
      </w:pPr>
      <w:r>
        <w:drawing>
          <wp:inline distT="0" distB="0" distL="114300" distR="114300">
            <wp:extent cx="6637020" cy="3385820"/>
            <wp:effectExtent l="0" t="0" r="5080" b="508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11"/>
                    <a:stretch>
                      <a:fillRect/>
                    </a:stretch>
                  </pic:blipFill>
                  <pic:spPr>
                    <a:xfrm>
                      <a:off x="0" y="0"/>
                      <a:ext cx="6637020" cy="3385820"/>
                    </a:xfrm>
                    <a:prstGeom prst="rect">
                      <a:avLst/>
                    </a:prstGeom>
                    <a:noFill/>
                    <a:ln>
                      <a:noFill/>
                    </a:ln>
                  </pic:spPr>
                </pic:pic>
              </a:graphicData>
            </a:graphic>
          </wp:inline>
        </w:drawing>
      </w:r>
    </w:p>
    <w:p>
      <w:pPr>
        <w:ind w:firstLine="240" w:firstLineChars="100"/>
        <w:rPr>
          <w:rFonts w:hint="eastAsia"/>
          <w:szCs w:val="28"/>
          <w:lang w:val="en-US" w:eastAsia="zh-CN"/>
        </w:rPr>
      </w:pPr>
      <w:r>
        <w:rPr>
          <w:rFonts w:hint="eastAsia"/>
          <w:szCs w:val="28"/>
          <w:lang w:val="en-US" w:eastAsia="zh-CN"/>
        </w:rPr>
        <w:t>再次点击CA登录（不要使用“账号登录”，），然后插入CA锁进行登录。如图：</w:t>
      </w:r>
    </w:p>
    <w:p>
      <w:pPr>
        <w:ind w:firstLine="240" w:firstLineChars="100"/>
        <w:rPr>
          <w:sz w:val="28"/>
          <w:szCs w:val="28"/>
        </w:rPr>
      </w:pPr>
      <w:r>
        <w:rPr>
          <w:rFonts w:hint="eastAsia"/>
          <w:szCs w:val="28"/>
          <w:lang w:val="en-US" w:eastAsia="zh-CN"/>
        </w:rPr>
        <w:t>步骤一：有①②进行登录。</w:t>
      </w:r>
    </w:p>
    <w:p>
      <w:pPr>
        <w:jc w:val="center"/>
      </w:pPr>
      <w:r>
        <w:drawing>
          <wp:inline distT="0" distB="0" distL="114300" distR="114300">
            <wp:extent cx="6644640" cy="2597785"/>
            <wp:effectExtent l="0" t="0" r="10160" b="5715"/>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12"/>
                    <a:stretch>
                      <a:fillRect/>
                    </a:stretch>
                  </pic:blipFill>
                  <pic:spPr>
                    <a:xfrm>
                      <a:off x="0" y="0"/>
                      <a:ext cx="6644640" cy="2597785"/>
                    </a:xfrm>
                    <a:prstGeom prst="rect">
                      <a:avLst/>
                    </a:prstGeom>
                    <a:noFill/>
                    <a:ln>
                      <a:noFill/>
                    </a:ln>
                  </pic:spPr>
                </pic:pic>
              </a:graphicData>
            </a:graphic>
          </wp:inline>
        </w:drawing>
      </w:r>
    </w:p>
    <w:p>
      <w:pPr>
        <w:ind w:firstLine="240" w:firstLineChars="100"/>
        <w:rPr>
          <w:rFonts w:hint="default"/>
          <w:szCs w:val="28"/>
          <w:lang w:val="en-US" w:eastAsia="zh-CN"/>
        </w:rPr>
      </w:pPr>
      <w:r>
        <w:rPr>
          <w:rFonts w:hint="eastAsia"/>
          <w:szCs w:val="28"/>
          <w:lang w:val="en-US" w:eastAsia="zh-CN"/>
        </w:rPr>
        <w:t>步骤二：点击“切换角色”-切换“招标代理”选择“招标代理”点击确定。</w:t>
      </w:r>
    </w:p>
    <w:p>
      <w:pPr>
        <w:jc w:val="center"/>
      </w:pPr>
      <w:r>
        <w:drawing>
          <wp:inline distT="0" distB="0" distL="114300" distR="114300">
            <wp:extent cx="6637020" cy="746125"/>
            <wp:effectExtent l="0" t="0" r="5080" b="317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13"/>
                    <a:stretch>
                      <a:fillRect/>
                    </a:stretch>
                  </pic:blipFill>
                  <pic:spPr>
                    <a:xfrm>
                      <a:off x="0" y="0"/>
                      <a:ext cx="6637020" cy="746125"/>
                    </a:xfrm>
                    <a:prstGeom prst="rect">
                      <a:avLst/>
                    </a:prstGeom>
                    <a:noFill/>
                    <a:ln>
                      <a:noFill/>
                    </a:ln>
                  </pic:spPr>
                </pic:pic>
              </a:graphicData>
            </a:graphic>
          </wp:inline>
        </w:drawing>
      </w:r>
    </w:p>
    <w:p>
      <w:pPr>
        <w:jc w:val="center"/>
      </w:pPr>
      <w:r>
        <w:drawing>
          <wp:inline distT="0" distB="0" distL="114300" distR="114300">
            <wp:extent cx="3587750" cy="2515235"/>
            <wp:effectExtent l="0" t="0" r="6350" b="1206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14"/>
                    <a:stretch>
                      <a:fillRect/>
                    </a:stretch>
                  </pic:blipFill>
                  <pic:spPr>
                    <a:xfrm>
                      <a:off x="0" y="0"/>
                      <a:ext cx="3587750" cy="2515235"/>
                    </a:xfrm>
                    <a:prstGeom prst="rect">
                      <a:avLst/>
                    </a:prstGeom>
                    <a:noFill/>
                    <a:ln>
                      <a:noFill/>
                    </a:ln>
                  </pic:spPr>
                </pic:pic>
              </a:graphicData>
            </a:graphic>
          </wp:inline>
        </w:drawing>
      </w:r>
    </w:p>
    <w:p/>
    <w:p>
      <w:pPr>
        <w:pStyle w:val="28"/>
        <w:ind w:left="807" w:right="240"/>
        <w:rPr>
          <w:color w:val="C00000"/>
        </w:rPr>
      </w:pPr>
      <w:bookmarkStart w:id="26" w:name="_Toc505190414"/>
      <w:bookmarkStart w:id="27" w:name="_Toc500231389"/>
      <w:bookmarkStart w:id="28" w:name="_Toc14897"/>
      <w:bookmarkStart w:id="29" w:name="_Toc31897"/>
      <w:r>
        <w:rPr>
          <w:rFonts w:hint="eastAsia"/>
          <w:color w:val="C00000"/>
        </w:rPr>
        <w:t>项目</w:t>
      </w:r>
      <w:bookmarkEnd w:id="26"/>
      <w:bookmarkEnd w:id="27"/>
      <w:bookmarkEnd w:id="28"/>
      <w:r>
        <w:rPr>
          <w:rFonts w:hint="eastAsia"/>
          <w:color w:val="C00000"/>
          <w:lang w:val="en-US" w:eastAsia="zh-CN"/>
        </w:rPr>
        <w:t>入场登记</w:t>
      </w:r>
      <w:bookmarkEnd w:id="29"/>
    </w:p>
    <w:p>
      <w:pPr>
        <w:ind w:firstLine="600" w:firstLineChars="250"/>
      </w:pPr>
      <w:r>
        <w:rPr>
          <w:rFonts w:hint="eastAsia"/>
        </w:rPr>
        <w:t>因</w:t>
      </w:r>
      <w:r>
        <w:t>资格预审项目流程</w:t>
      </w:r>
      <w:r>
        <w:rPr>
          <w:rFonts w:hint="eastAsia"/>
        </w:rPr>
        <w:t>覆盖</w:t>
      </w:r>
      <w:r>
        <w:t>较全，</w:t>
      </w:r>
      <w:r>
        <w:rPr>
          <w:rFonts w:hint="eastAsia"/>
        </w:rPr>
        <w:t>本操作</w:t>
      </w:r>
      <w:r>
        <w:t>手册以</w:t>
      </w:r>
      <w:r>
        <w:rPr>
          <w:rFonts w:hint="eastAsia"/>
        </w:rPr>
        <w:t>资格</w:t>
      </w:r>
      <w:r>
        <w:t>预审项目</w:t>
      </w:r>
      <w:r>
        <w:rPr>
          <w:rFonts w:hint="eastAsia"/>
        </w:rPr>
        <w:t>为例做流程</w:t>
      </w:r>
      <w:r>
        <w:t>操作说明。</w:t>
      </w:r>
      <w:r>
        <w:rPr>
          <w:rFonts w:hint="eastAsia"/>
        </w:rPr>
        <w:t>后审及邀请</w:t>
      </w:r>
      <w:r>
        <w:t>项</w:t>
      </w:r>
      <w:r>
        <w:rPr>
          <w:rFonts w:hint="eastAsia"/>
        </w:rPr>
        <w:t>目具体</w:t>
      </w:r>
      <w:r>
        <w:t>操作可参照此</w:t>
      </w:r>
      <w:r>
        <w:rPr>
          <w:rFonts w:hint="eastAsia"/>
        </w:rPr>
        <w:t>手册</w:t>
      </w:r>
      <w:r>
        <w:t>。</w:t>
      </w:r>
    </w:p>
    <w:p>
      <w:pPr>
        <w:pStyle w:val="27"/>
        <w:ind w:left="949" w:right="240"/>
        <w:outlineLvl w:val="9"/>
        <w:rPr>
          <w:b/>
          <w:bCs/>
          <w:sz w:val="24"/>
          <w:szCs w:val="24"/>
        </w:rPr>
      </w:pPr>
      <w:bookmarkStart w:id="30" w:name="_Toc18455"/>
      <w:bookmarkStart w:id="31" w:name="_Toc505190415"/>
      <w:bookmarkStart w:id="32" w:name="_Toc16901"/>
      <w:bookmarkStart w:id="33" w:name="_Toc16831"/>
      <w:r>
        <w:rPr>
          <w:b/>
          <w:bCs/>
          <w:sz w:val="24"/>
          <w:szCs w:val="24"/>
        </w:rPr>
        <w:t>基本信息填写</w:t>
      </w:r>
      <w:bookmarkEnd w:id="30"/>
      <w:bookmarkEnd w:id="31"/>
      <w:bookmarkEnd w:id="32"/>
      <w:bookmarkEnd w:id="33"/>
    </w:p>
    <w:p>
      <w:pPr>
        <w:ind w:firstLine="240" w:firstLineChars="100"/>
        <w:rPr>
          <w:rFonts w:hint="eastAsia"/>
          <w:lang w:val="en-US" w:eastAsia="zh-CN"/>
        </w:rPr>
      </w:pPr>
      <w:r>
        <w:rPr>
          <w:rFonts w:hint="eastAsia"/>
          <w:lang w:val="en-US" w:eastAsia="zh-CN"/>
        </w:rPr>
        <w:t>在</w:t>
      </w:r>
      <w:r>
        <w:rPr>
          <w:rFonts w:hint="eastAsia"/>
        </w:rPr>
        <w:t>【项目</w:t>
      </w:r>
      <w:r>
        <w:rPr>
          <w:rFonts w:hint="eastAsia"/>
          <w:lang w:val="en-US" w:eastAsia="zh-CN"/>
        </w:rPr>
        <w:t>入</w:t>
      </w:r>
      <w:r>
        <w:rPr>
          <w:rFonts w:hint="eastAsia"/>
        </w:rPr>
        <w:t>场登记】</w:t>
      </w:r>
      <w:r>
        <w:rPr>
          <w:rFonts w:hint="eastAsia"/>
          <w:lang w:val="en-US" w:eastAsia="zh-CN"/>
        </w:rPr>
        <w:t>界面</w:t>
      </w:r>
      <w:r>
        <w:rPr>
          <w:rFonts w:hint="eastAsia"/>
          <w:lang w:eastAsia="zh-CN"/>
        </w:rPr>
        <w:t>，</w:t>
      </w:r>
      <w:r>
        <w:t>点击</w:t>
      </w:r>
      <w:r>
        <w:rPr>
          <w:rFonts w:hint="eastAsia"/>
        </w:rPr>
        <w:t>【新增项目】按钮，在弹出的页面中，填写</w:t>
      </w:r>
      <w:r>
        <w:rPr>
          <w:rFonts w:hint="eastAsia"/>
          <w:lang w:eastAsia="zh-CN"/>
        </w:rPr>
        <w:t>“</w:t>
      </w:r>
      <w:r>
        <w:rPr>
          <w:rFonts w:hint="eastAsia"/>
        </w:rPr>
        <w:t>项目</w:t>
      </w:r>
      <w:r>
        <w:t>信息</w:t>
      </w:r>
      <w:r>
        <w:rPr>
          <w:rFonts w:hint="eastAsia"/>
          <w:lang w:eastAsia="zh-CN"/>
        </w:rPr>
        <w:t>”；“</w:t>
      </w:r>
      <w:r>
        <w:rPr>
          <w:rFonts w:hint="eastAsia"/>
          <w:lang w:val="en-US" w:eastAsia="zh-CN"/>
        </w:rPr>
        <w:t>招标项目概况”；“招标人信息”；“招标代理信息”等，填写完成后点击【提交】</w:t>
      </w:r>
      <w:r>
        <w:rPr>
          <w:rFonts w:hint="eastAsia"/>
        </w:rPr>
        <w:t>。</w:t>
      </w:r>
      <w:r>
        <w:rPr>
          <w:rFonts w:hint="eastAsia"/>
          <w:lang w:val="en-US" w:eastAsia="zh-CN"/>
        </w:rPr>
        <w:t xml:space="preserve"> </w:t>
      </w:r>
    </w:p>
    <w:p>
      <w:pPr>
        <w:ind w:firstLine="241" w:firstLineChars="100"/>
        <w:rPr>
          <w:rFonts w:hint="eastAsia"/>
          <w:b/>
          <w:bCs/>
          <w:color w:val="C00000"/>
          <w:lang w:val="en-US" w:eastAsia="zh-CN"/>
        </w:rPr>
      </w:pPr>
      <w:r>
        <w:rPr>
          <w:rFonts w:hint="eastAsia"/>
          <w:b/>
          <w:bCs/>
          <w:color w:val="C00000"/>
          <w:lang w:val="en-US" w:eastAsia="zh-CN"/>
        </w:rPr>
        <w:t>【此环节两级审批：先招标人审批再监管审批】</w:t>
      </w:r>
    </w:p>
    <w:p>
      <w:pPr>
        <w:ind w:firstLine="241" w:firstLineChars="100"/>
        <w:rPr>
          <w:rFonts w:hint="eastAsia"/>
          <w:b/>
          <w:bCs/>
          <w:color w:val="C00000"/>
          <w:lang w:val="en-US" w:eastAsia="zh-CN"/>
        </w:rPr>
      </w:pPr>
      <w:r>
        <w:rPr>
          <w:rFonts w:hint="eastAsia"/>
          <w:b/>
          <w:bCs/>
          <w:color w:val="C00000"/>
          <w:lang w:val="en-US" w:eastAsia="zh-CN"/>
        </w:rPr>
        <w:t>备注：1、点击“添加招标人”在列表中选择对应企业，若列表中没有需要选择的企业，需要先做企业注册，完成注册后在选择。</w:t>
      </w:r>
    </w:p>
    <w:p>
      <w:pPr>
        <w:ind w:firstLine="241" w:firstLineChars="100"/>
        <w:rPr>
          <w:rFonts w:hint="eastAsia"/>
          <w:b/>
          <w:bCs/>
          <w:color w:val="C00000"/>
          <w:lang w:val="en-US" w:eastAsia="zh-CN"/>
        </w:rPr>
      </w:pPr>
      <w:r>
        <w:rPr>
          <w:rFonts w:hint="eastAsia"/>
          <w:b/>
          <w:bCs/>
          <w:color w:val="C00000"/>
          <w:lang w:val="en-US" w:eastAsia="zh-CN"/>
        </w:rPr>
        <w:t>2、点击“添加成员”在列表中选择对应人员，在添加此环节的过程中选择不到人员信息，需返回到【企业注册-企业人员】维护人员信息。</w:t>
      </w:r>
    </w:p>
    <w:p>
      <w:pPr>
        <w:ind w:firstLine="240" w:firstLineChars="100"/>
      </w:pPr>
      <w:r>
        <w:drawing>
          <wp:inline distT="0" distB="0" distL="114300" distR="114300">
            <wp:extent cx="6636385" cy="3219450"/>
            <wp:effectExtent l="0" t="0" r="5715" b="635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5"/>
                    <a:stretch>
                      <a:fillRect/>
                    </a:stretch>
                  </pic:blipFill>
                  <pic:spPr>
                    <a:xfrm>
                      <a:off x="0" y="0"/>
                      <a:ext cx="6636385" cy="3219450"/>
                    </a:xfrm>
                    <a:prstGeom prst="rect">
                      <a:avLst/>
                    </a:prstGeom>
                    <a:noFill/>
                    <a:ln>
                      <a:noFill/>
                    </a:ln>
                  </pic:spPr>
                </pic:pic>
              </a:graphicData>
            </a:graphic>
          </wp:inline>
        </w:drawing>
      </w:r>
    </w:p>
    <w:p>
      <w:pPr>
        <w:ind w:firstLine="240" w:firstLineChars="100"/>
      </w:pPr>
      <w:r>
        <w:drawing>
          <wp:inline distT="0" distB="0" distL="114300" distR="114300">
            <wp:extent cx="6645910" cy="3181985"/>
            <wp:effectExtent l="0" t="0" r="8890" b="571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6"/>
                    <a:stretch>
                      <a:fillRect/>
                    </a:stretch>
                  </pic:blipFill>
                  <pic:spPr>
                    <a:xfrm>
                      <a:off x="0" y="0"/>
                      <a:ext cx="6645910" cy="3181985"/>
                    </a:xfrm>
                    <a:prstGeom prst="rect">
                      <a:avLst/>
                    </a:prstGeom>
                    <a:noFill/>
                    <a:ln>
                      <a:noFill/>
                    </a:ln>
                  </pic:spPr>
                </pic:pic>
              </a:graphicData>
            </a:graphic>
          </wp:inline>
        </w:drawing>
      </w:r>
    </w:p>
    <w:p>
      <w:pPr>
        <w:ind w:firstLine="240" w:firstLineChars="100"/>
      </w:pPr>
      <w:r>
        <w:drawing>
          <wp:inline distT="0" distB="0" distL="114300" distR="114300">
            <wp:extent cx="6438900" cy="2458085"/>
            <wp:effectExtent l="0" t="0" r="0" b="571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7"/>
                    <a:stretch>
                      <a:fillRect/>
                    </a:stretch>
                  </pic:blipFill>
                  <pic:spPr>
                    <a:xfrm>
                      <a:off x="0" y="0"/>
                      <a:ext cx="6438900" cy="2458085"/>
                    </a:xfrm>
                    <a:prstGeom prst="rect">
                      <a:avLst/>
                    </a:prstGeom>
                    <a:noFill/>
                    <a:ln>
                      <a:noFill/>
                    </a:ln>
                  </pic:spPr>
                </pic:pic>
              </a:graphicData>
            </a:graphic>
          </wp:inline>
        </w:drawing>
      </w:r>
    </w:p>
    <w:p>
      <w:pPr>
        <w:ind w:firstLine="240" w:firstLineChars="100"/>
      </w:pPr>
      <w:r>
        <w:drawing>
          <wp:inline distT="0" distB="0" distL="114300" distR="114300">
            <wp:extent cx="6503035" cy="2458085"/>
            <wp:effectExtent l="0" t="0" r="12065" b="571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18"/>
                    <a:stretch>
                      <a:fillRect/>
                    </a:stretch>
                  </pic:blipFill>
                  <pic:spPr>
                    <a:xfrm>
                      <a:off x="0" y="0"/>
                      <a:ext cx="6503035" cy="2458085"/>
                    </a:xfrm>
                    <a:prstGeom prst="rect">
                      <a:avLst/>
                    </a:prstGeom>
                    <a:noFill/>
                    <a:ln>
                      <a:noFill/>
                    </a:ln>
                  </pic:spPr>
                </pic:pic>
              </a:graphicData>
            </a:graphic>
          </wp:inline>
        </w:drawing>
      </w:r>
    </w:p>
    <w:p>
      <w:pPr>
        <w:ind w:firstLine="240" w:firstLineChars="100"/>
      </w:pPr>
      <w:r>
        <w:drawing>
          <wp:inline distT="0" distB="0" distL="114300" distR="114300">
            <wp:extent cx="6642735" cy="3274060"/>
            <wp:effectExtent l="0" t="0" r="12065" b="254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9"/>
                    <a:stretch>
                      <a:fillRect/>
                    </a:stretch>
                  </pic:blipFill>
                  <pic:spPr>
                    <a:xfrm>
                      <a:off x="0" y="0"/>
                      <a:ext cx="6642735" cy="3274060"/>
                    </a:xfrm>
                    <a:prstGeom prst="rect">
                      <a:avLst/>
                    </a:prstGeom>
                    <a:noFill/>
                    <a:ln>
                      <a:noFill/>
                    </a:ln>
                  </pic:spPr>
                </pic:pic>
              </a:graphicData>
            </a:graphic>
          </wp:inline>
        </w:drawing>
      </w:r>
    </w:p>
    <w:p>
      <w:pPr>
        <w:pStyle w:val="28"/>
        <w:ind w:left="807" w:right="240"/>
        <w:rPr>
          <w:rFonts w:hint="default"/>
          <w:color w:val="C00000"/>
          <w:lang w:val="en-US"/>
        </w:rPr>
      </w:pPr>
      <w:bookmarkStart w:id="34" w:name="_Toc21622"/>
      <w:r>
        <w:rPr>
          <w:rFonts w:hint="eastAsia"/>
          <w:color w:val="C00000"/>
          <w:lang w:val="en-US" w:eastAsia="zh-CN"/>
        </w:rPr>
        <w:t>我的招标项目</w:t>
      </w:r>
      <w:bookmarkEnd w:id="34"/>
    </w:p>
    <w:p>
      <w:pPr>
        <w:ind w:firstLine="240" w:firstLineChars="100"/>
        <w:rPr>
          <w:rFonts w:hint="eastAsia"/>
          <w:lang w:val="en-US" w:eastAsia="zh-CN"/>
        </w:rPr>
      </w:pPr>
      <w:r>
        <w:rPr>
          <w:rFonts w:hint="eastAsia"/>
          <w:lang w:val="en-US" w:eastAsia="zh-CN"/>
        </w:rPr>
        <w:t xml:space="preserve">  在</w:t>
      </w:r>
      <w:r>
        <w:rPr>
          <w:rFonts w:hint="eastAsia"/>
        </w:rPr>
        <w:t>【</w:t>
      </w:r>
      <w:r>
        <w:rPr>
          <w:rFonts w:hint="eastAsia"/>
          <w:lang w:val="en-US" w:eastAsia="zh-CN"/>
        </w:rPr>
        <w:t>我的招标项目</w:t>
      </w:r>
      <w:r>
        <w:rPr>
          <w:rFonts w:hint="eastAsia"/>
        </w:rPr>
        <w:t>】</w:t>
      </w:r>
      <w:r>
        <w:rPr>
          <w:rFonts w:hint="eastAsia"/>
          <w:lang w:val="en-US" w:eastAsia="zh-CN"/>
        </w:rPr>
        <w:t>界面，在右上角搜索“项目名称/编码”，找到对应项目点击【进入项目】进入到招标项目整个流程阶段。</w:t>
      </w:r>
    </w:p>
    <w:p>
      <w:pPr>
        <w:ind w:firstLine="240" w:firstLineChars="100"/>
      </w:pPr>
      <w:r>
        <w:drawing>
          <wp:inline distT="0" distB="0" distL="114300" distR="114300">
            <wp:extent cx="6635115" cy="3263265"/>
            <wp:effectExtent l="0" t="0" r="6985" b="63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20"/>
                    <a:stretch>
                      <a:fillRect/>
                    </a:stretch>
                  </pic:blipFill>
                  <pic:spPr>
                    <a:xfrm>
                      <a:off x="0" y="0"/>
                      <a:ext cx="6635115" cy="3263265"/>
                    </a:xfrm>
                    <a:prstGeom prst="rect">
                      <a:avLst/>
                    </a:prstGeom>
                    <a:noFill/>
                    <a:ln>
                      <a:noFill/>
                    </a:ln>
                  </pic:spPr>
                </pic:pic>
              </a:graphicData>
            </a:graphic>
          </wp:inline>
        </w:drawing>
      </w:r>
    </w:p>
    <w:p>
      <w:pPr>
        <w:pStyle w:val="28"/>
        <w:ind w:left="807" w:right="240"/>
        <w:rPr>
          <w:rFonts w:hint="default"/>
          <w:color w:val="C00000"/>
          <w:lang w:val="en-US"/>
        </w:rPr>
      </w:pPr>
      <w:bookmarkStart w:id="35" w:name="_Toc4981"/>
      <w:r>
        <w:rPr>
          <w:rFonts w:hint="eastAsia"/>
          <w:color w:val="C00000"/>
          <w:lang w:val="en-US" w:eastAsia="zh-CN"/>
        </w:rPr>
        <w:t>招标公告阶段</w:t>
      </w:r>
      <w:bookmarkEnd w:id="35"/>
    </w:p>
    <w:p>
      <w:pPr>
        <w:numPr>
          <w:ilvl w:val="0"/>
          <w:numId w:val="0"/>
        </w:numPr>
        <w:ind w:left="480" w:leftChars="0"/>
        <w:outlineLvl w:val="2"/>
        <w:rPr>
          <w:rFonts w:hint="default"/>
          <w:b/>
          <w:bCs/>
          <w:color w:val="000000" w:themeColor="text1"/>
          <w:lang w:val="en-US" w:eastAsia="zh-CN"/>
          <w14:textFill>
            <w14:solidFill>
              <w14:schemeClr w14:val="tx1"/>
            </w14:solidFill>
          </w14:textFill>
        </w:rPr>
      </w:pPr>
      <w:bookmarkStart w:id="36" w:name="_Toc22579"/>
      <w:r>
        <w:rPr>
          <w:rFonts w:hint="eastAsia"/>
          <w:b/>
          <w:bCs/>
          <w:color w:val="000000" w:themeColor="text1"/>
          <w:lang w:val="en-US" w:eastAsia="zh-CN"/>
          <w14:textFill>
            <w14:solidFill>
              <w14:schemeClr w14:val="tx1"/>
            </w14:solidFill>
          </w14:textFill>
        </w:rPr>
        <w:t>2.4.1项目概况</w:t>
      </w:r>
      <w:bookmarkEnd w:id="36"/>
    </w:p>
    <w:p>
      <w:pPr>
        <w:numPr>
          <w:ilvl w:val="0"/>
          <w:numId w:val="0"/>
        </w:numPr>
        <w:ind w:left="480" w:leftChars="0"/>
        <w:rPr>
          <w:rFonts w:hint="eastAsia"/>
          <w:lang w:val="en-US" w:eastAsia="zh-CN"/>
        </w:rPr>
      </w:pPr>
      <w:r>
        <w:rPr>
          <w:rFonts w:hint="eastAsia"/>
          <w:lang w:val="en-US" w:eastAsia="zh-CN"/>
        </w:rPr>
        <w:t>针对于项目入场信息进行陈列展示</w:t>
      </w:r>
    </w:p>
    <w:p>
      <w:pPr>
        <w:numPr>
          <w:ilvl w:val="0"/>
          <w:numId w:val="0"/>
        </w:numPr>
        <w:ind w:left="480" w:leftChars="0"/>
        <w:outlineLvl w:val="2"/>
        <w:rPr>
          <w:rFonts w:hint="eastAsia"/>
          <w:b/>
          <w:bCs/>
          <w:lang w:val="en-US" w:eastAsia="zh-CN"/>
        </w:rPr>
      </w:pPr>
      <w:bookmarkStart w:id="37" w:name="_Toc5815"/>
      <w:r>
        <w:rPr>
          <w:rFonts w:hint="eastAsia"/>
          <w:b/>
          <w:bCs/>
          <w:lang w:val="en-US" w:eastAsia="zh-CN"/>
        </w:rPr>
        <w:t>2.4.2招标场地预约及变更</w:t>
      </w:r>
      <w:bookmarkEnd w:id="37"/>
    </w:p>
    <w:p>
      <w:pPr>
        <w:numPr>
          <w:ilvl w:val="0"/>
          <w:numId w:val="0"/>
        </w:numPr>
        <w:ind w:left="480" w:leftChars="0" w:firstLine="480" w:firstLineChars="200"/>
        <w:rPr>
          <w:rFonts w:hint="eastAsia"/>
          <w:lang w:val="en-US" w:eastAsia="zh-CN"/>
        </w:rPr>
      </w:pPr>
      <w:r>
        <w:rPr>
          <w:rFonts w:hint="eastAsia"/>
          <w:lang w:val="en-US" w:eastAsia="zh-CN"/>
        </w:rPr>
        <w:t>点击【预约招标场地】-勾选对应标段，点击“确定”。跳转场地信息填写页面，①【预约标段】-填写“招标代理联系人”和“联系电话”；②【招标开标预约场地】-填写“开始及结束时间”和“预约人数”；信息填写完成后，点击“预约场地”选择开标室。③【招标评标预约场地】同上。信息检查无误后点击下方“提交”按钮即可完成场地预约。</w:t>
      </w:r>
    </w:p>
    <w:p>
      <w:pPr>
        <w:ind w:firstLine="723" w:firstLineChars="300"/>
        <w:rPr>
          <w:rFonts w:hint="eastAsia"/>
          <w:lang w:val="en-US" w:eastAsia="zh-CN"/>
        </w:rPr>
      </w:pPr>
      <w:r>
        <w:rPr>
          <w:rFonts w:hint="eastAsia"/>
          <w:b/>
          <w:bCs/>
          <w:color w:val="C00000"/>
          <w:lang w:val="en-US" w:eastAsia="zh-CN"/>
        </w:rPr>
        <w:t>【此环节需监管审批】</w:t>
      </w:r>
    </w:p>
    <w:p>
      <w:pPr>
        <w:numPr>
          <w:ilvl w:val="0"/>
          <w:numId w:val="0"/>
        </w:numPr>
        <w:ind w:left="480" w:leftChars="0"/>
        <w:rPr>
          <w:rFonts w:hint="eastAsia"/>
          <w:color w:val="C00000"/>
          <w:lang w:val="en-US" w:eastAsia="zh-CN"/>
        </w:rPr>
      </w:pPr>
      <w:r>
        <w:rPr>
          <w:rFonts w:hint="eastAsia"/>
          <w:color w:val="C00000"/>
          <w:lang w:val="en-US" w:eastAsia="zh-CN"/>
        </w:rPr>
        <w:t>备注：1、若是多标段，需要将多标段都进行勾选，多标段发布一个公告。</w:t>
      </w:r>
    </w:p>
    <w:p>
      <w:pPr>
        <w:numPr>
          <w:ilvl w:val="0"/>
          <w:numId w:val="0"/>
        </w:numPr>
        <w:ind w:left="480" w:leftChars="0"/>
        <w:rPr>
          <w:rFonts w:hint="eastAsia"/>
          <w:color w:val="C00000"/>
          <w:lang w:val="en-US" w:eastAsia="zh-CN"/>
        </w:rPr>
      </w:pPr>
      <w:r>
        <w:rPr>
          <w:rFonts w:hint="eastAsia"/>
          <w:color w:val="C00000"/>
          <w:lang w:val="en-US" w:eastAsia="zh-CN"/>
        </w:rPr>
        <w:t>2、【场地预约】提交时出现此提示：“当前所选场地已被其他项目占用，请重新预约并及时提交”证明所选时间段没有可分配的标室，则需重新变更时间进行预约。</w:t>
      </w:r>
    </w:p>
    <w:p>
      <w:pPr>
        <w:numPr>
          <w:ilvl w:val="0"/>
          <w:numId w:val="0"/>
        </w:numPr>
        <w:ind w:left="480" w:leftChars="0"/>
      </w:pPr>
      <w:r>
        <w:drawing>
          <wp:inline distT="0" distB="0" distL="114300" distR="114300">
            <wp:extent cx="6642735" cy="1983105"/>
            <wp:effectExtent l="0" t="0" r="12065" b="10795"/>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21"/>
                    <a:stretch>
                      <a:fillRect/>
                    </a:stretch>
                  </pic:blipFill>
                  <pic:spPr>
                    <a:xfrm>
                      <a:off x="0" y="0"/>
                      <a:ext cx="6642735" cy="1983105"/>
                    </a:xfrm>
                    <a:prstGeom prst="rect">
                      <a:avLst/>
                    </a:prstGeom>
                    <a:noFill/>
                    <a:ln>
                      <a:noFill/>
                    </a:ln>
                  </pic:spPr>
                </pic:pic>
              </a:graphicData>
            </a:graphic>
          </wp:inline>
        </w:drawing>
      </w:r>
    </w:p>
    <w:p>
      <w:pPr>
        <w:numPr>
          <w:ilvl w:val="0"/>
          <w:numId w:val="0"/>
        </w:numPr>
        <w:ind w:left="480" w:leftChars="0"/>
        <w:rPr>
          <w:rFonts w:hint="default"/>
          <w:lang w:val="en-US" w:eastAsia="zh-CN"/>
        </w:rPr>
      </w:pPr>
      <w:r>
        <w:drawing>
          <wp:inline distT="0" distB="0" distL="114300" distR="114300">
            <wp:extent cx="6640830" cy="3248025"/>
            <wp:effectExtent l="0" t="0" r="1270" b="3175"/>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22"/>
                    <a:stretch>
                      <a:fillRect/>
                    </a:stretch>
                  </pic:blipFill>
                  <pic:spPr>
                    <a:xfrm>
                      <a:off x="0" y="0"/>
                      <a:ext cx="6640830" cy="3248025"/>
                    </a:xfrm>
                    <a:prstGeom prst="rect">
                      <a:avLst/>
                    </a:prstGeom>
                    <a:noFill/>
                    <a:ln>
                      <a:noFill/>
                    </a:ln>
                  </pic:spPr>
                </pic:pic>
              </a:graphicData>
            </a:graphic>
          </wp:inline>
        </w:drawing>
      </w:r>
    </w:p>
    <w:p>
      <w:pPr>
        <w:numPr>
          <w:ilvl w:val="0"/>
          <w:numId w:val="0"/>
        </w:numPr>
        <w:ind w:left="480" w:leftChars="0"/>
        <w:outlineLvl w:val="2"/>
        <w:rPr>
          <w:rFonts w:hint="eastAsia"/>
          <w:b/>
          <w:bCs/>
          <w:lang w:val="en-US" w:eastAsia="zh-CN"/>
        </w:rPr>
      </w:pPr>
      <w:bookmarkStart w:id="38" w:name="_Toc16164"/>
      <w:r>
        <w:rPr>
          <w:rFonts w:hint="eastAsia"/>
          <w:b/>
          <w:bCs/>
          <w:lang w:val="en-US" w:eastAsia="zh-CN"/>
        </w:rPr>
        <w:t>2.4.3招标公告编制</w:t>
      </w:r>
      <w:bookmarkEnd w:id="38"/>
    </w:p>
    <w:p>
      <w:pPr>
        <w:numPr>
          <w:ilvl w:val="0"/>
          <w:numId w:val="0"/>
        </w:numPr>
        <w:ind w:left="480" w:leftChars="0"/>
        <w:rPr>
          <w:rFonts w:hint="default"/>
          <w:lang w:val="en-US" w:eastAsia="zh-CN"/>
        </w:rPr>
      </w:pPr>
      <w:r>
        <w:rPr>
          <w:rFonts w:hint="eastAsia"/>
          <w:lang w:val="en-US" w:eastAsia="zh-CN"/>
        </w:rPr>
        <w:t xml:space="preserve">   点击【新增公告】勾选对应标段，点击“确定”；进入招标公告编辑页面。</w:t>
      </w:r>
    </w:p>
    <w:p>
      <w:pPr>
        <w:rPr>
          <w:rFonts w:hint="eastAsia" w:ascii="仿宋" w:hAnsi="仿宋" w:eastAsia="仿宋" w:cs="仿宋"/>
          <w:b/>
          <w:bCs/>
          <w:color w:val="C00000"/>
          <w:sz w:val="28"/>
        </w:rPr>
      </w:pPr>
      <w:r>
        <w:rPr>
          <w:rFonts w:hint="eastAsia"/>
          <w:lang w:val="en-US" w:eastAsia="zh-CN"/>
        </w:rPr>
        <w:t xml:space="preserve">  </w:t>
      </w:r>
      <w:r>
        <w:rPr>
          <w:rFonts w:hint="eastAsia" w:ascii="仿宋" w:hAnsi="仿宋" w:eastAsia="仿宋" w:cs="仿宋"/>
          <w:b/>
          <w:bCs/>
          <w:color w:val="C00000"/>
          <w:sz w:val="28"/>
        </w:rPr>
        <w:t>此页面重点事项说明：</w:t>
      </w:r>
    </w:p>
    <w:p>
      <w:pPr>
        <w:numPr>
          <w:ilvl w:val="0"/>
          <w:numId w:val="2"/>
        </w:numPr>
        <w:ind w:left="802" w:leftChars="0" w:firstLine="0" w:firstLineChars="0"/>
        <w:rPr>
          <w:rFonts w:hint="eastAsia"/>
          <w:lang w:val="en-US" w:eastAsia="zh-CN"/>
        </w:rPr>
      </w:pPr>
      <w:r>
        <w:rPr>
          <w:rFonts w:hint="eastAsia"/>
          <w:lang w:val="en-US" w:eastAsia="zh-CN"/>
        </w:rPr>
        <w:t>【招标文件获取】：填写招标文件的开始/截至时间/提问/澄清答疑时间参照下图：</w:t>
      </w:r>
    </w:p>
    <w:p>
      <w:pPr>
        <w:numPr>
          <w:ilvl w:val="0"/>
          <w:numId w:val="0"/>
        </w:numPr>
        <w:ind w:left="802" w:leftChars="0" w:firstLine="480" w:firstLineChars="200"/>
        <w:rPr>
          <w:rFonts w:hint="eastAsia"/>
          <w:lang w:val="en-US" w:eastAsia="zh-CN"/>
        </w:rPr>
      </w:pPr>
      <w:r>
        <w:rPr>
          <w:rFonts w:hint="eastAsia"/>
          <w:lang w:val="en-US" w:eastAsia="zh-CN"/>
        </w:rPr>
        <w:t>【附件】招标公告（签章）：招标公告（签章）无需自行加盖物理章后上传扫描件，在系统中“在线签章”。操作步骤如下：</w:t>
      </w:r>
    </w:p>
    <w:p>
      <w:pPr>
        <w:numPr>
          <w:ilvl w:val="0"/>
          <w:numId w:val="0"/>
        </w:numPr>
        <w:ind w:left="802" w:leftChars="0"/>
        <w:rPr>
          <w:rFonts w:hint="eastAsia"/>
          <w:lang w:val="en-US" w:eastAsia="zh-CN"/>
        </w:rPr>
      </w:pPr>
      <w:r>
        <w:rPr>
          <w:rFonts w:hint="eastAsia"/>
          <w:lang w:val="en-US" w:eastAsia="zh-CN"/>
        </w:rPr>
        <w:t>步骤一：点击右下角：点击“生成公告并签章”；再弹出下一页面点击“CA签章”</w:t>
      </w:r>
    </w:p>
    <w:p>
      <w:pPr>
        <w:numPr>
          <w:ilvl w:val="0"/>
          <w:numId w:val="0"/>
        </w:numPr>
        <w:ind w:left="802" w:leftChars="0"/>
        <w:rPr>
          <w:rFonts w:hint="eastAsia"/>
          <w:lang w:val="en-US" w:eastAsia="zh-CN"/>
        </w:rPr>
      </w:pPr>
      <w:r>
        <w:rPr>
          <w:rFonts w:hint="eastAsia"/>
          <w:lang w:val="en-US" w:eastAsia="zh-CN"/>
        </w:rPr>
        <w:t>步骤二：插入CA锁，点击“电子签章”；再输入CA锁密码，选择签章位置，加盖电子签章，签章完之后点击“完成签章”。签章完成之后点击“确定”。已签章的文件系统会自动上传附件；显示上传成功。</w:t>
      </w:r>
    </w:p>
    <w:p>
      <w:pPr>
        <w:ind w:firstLine="964" w:firstLineChars="400"/>
        <w:rPr>
          <w:rFonts w:hint="eastAsia"/>
          <w:b/>
          <w:bCs/>
          <w:color w:val="C00000"/>
          <w:lang w:val="en-US" w:eastAsia="zh-CN"/>
        </w:rPr>
      </w:pPr>
      <w:r>
        <w:rPr>
          <w:rFonts w:hint="eastAsia"/>
          <w:b/>
          <w:bCs/>
          <w:color w:val="C00000"/>
          <w:lang w:val="en-US" w:eastAsia="zh-CN"/>
        </w:rPr>
        <w:t>【此环节两级审批：先招标人审批再监管审批】</w:t>
      </w:r>
    </w:p>
    <w:p>
      <w:pPr>
        <w:ind w:firstLine="960" w:firstLineChars="400"/>
        <w:rPr>
          <w:rFonts w:hint="default"/>
          <w:lang w:val="en-US" w:eastAsia="zh-CN"/>
        </w:rPr>
      </w:pPr>
      <w:r>
        <w:drawing>
          <wp:inline distT="0" distB="0" distL="114300" distR="114300">
            <wp:extent cx="6644640" cy="2721610"/>
            <wp:effectExtent l="0" t="0" r="1016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3"/>
                    <a:stretch>
                      <a:fillRect/>
                    </a:stretch>
                  </pic:blipFill>
                  <pic:spPr>
                    <a:xfrm>
                      <a:off x="0" y="0"/>
                      <a:ext cx="6644640" cy="2721610"/>
                    </a:xfrm>
                    <a:prstGeom prst="rect">
                      <a:avLst/>
                    </a:prstGeom>
                    <a:noFill/>
                    <a:ln>
                      <a:noFill/>
                    </a:ln>
                  </pic:spPr>
                </pic:pic>
              </a:graphicData>
            </a:graphic>
          </wp:inline>
        </w:drawing>
      </w:r>
      <w:r>
        <w:drawing>
          <wp:inline distT="0" distB="0" distL="114300" distR="114300">
            <wp:extent cx="6645910" cy="3157855"/>
            <wp:effectExtent l="0" t="0" r="889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4"/>
                    <a:stretch>
                      <a:fillRect/>
                    </a:stretch>
                  </pic:blipFill>
                  <pic:spPr>
                    <a:xfrm>
                      <a:off x="0" y="0"/>
                      <a:ext cx="6645910" cy="3157855"/>
                    </a:xfrm>
                    <a:prstGeom prst="rect">
                      <a:avLst/>
                    </a:prstGeom>
                    <a:noFill/>
                    <a:ln>
                      <a:noFill/>
                    </a:ln>
                  </pic:spPr>
                </pic:pic>
              </a:graphicData>
            </a:graphic>
          </wp:inline>
        </w:drawing>
      </w:r>
      <w:r>
        <w:drawing>
          <wp:inline distT="0" distB="0" distL="114300" distR="114300">
            <wp:extent cx="6637020" cy="3220085"/>
            <wp:effectExtent l="0" t="0" r="5080" b="571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5"/>
                    <a:stretch>
                      <a:fillRect/>
                    </a:stretch>
                  </pic:blipFill>
                  <pic:spPr>
                    <a:xfrm>
                      <a:off x="0" y="0"/>
                      <a:ext cx="6637020" cy="3220085"/>
                    </a:xfrm>
                    <a:prstGeom prst="rect">
                      <a:avLst/>
                    </a:prstGeom>
                    <a:noFill/>
                    <a:ln>
                      <a:noFill/>
                    </a:ln>
                  </pic:spPr>
                </pic:pic>
              </a:graphicData>
            </a:graphic>
          </wp:inline>
        </w:drawing>
      </w:r>
      <w:r>
        <w:drawing>
          <wp:inline distT="0" distB="0" distL="114300" distR="114300">
            <wp:extent cx="6639560" cy="2712085"/>
            <wp:effectExtent l="0" t="0" r="2540" b="5715"/>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6"/>
                    <a:stretch>
                      <a:fillRect/>
                    </a:stretch>
                  </pic:blipFill>
                  <pic:spPr>
                    <a:xfrm>
                      <a:off x="0" y="0"/>
                      <a:ext cx="6639560" cy="2712085"/>
                    </a:xfrm>
                    <a:prstGeom prst="rect">
                      <a:avLst/>
                    </a:prstGeom>
                    <a:noFill/>
                    <a:ln>
                      <a:noFill/>
                    </a:ln>
                  </pic:spPr>
                </pic:pic>
              </a:graphicData>
            </a:graphic>
          </wp:inline>
        </w:drawing>
      </w:r>
      <w:r>
        <w:drawing>
          <wp:inline distT="0" distB="0" distL="114300" distR="114300">
            <wp:extent cx="6639560" cy="3099435"/>
            <wp:effectExtent l="0" t="0" r="2540" b="12065"/>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27"/>
                    <a:stretch>
                      <a:fillRect/>
                    </a:stretch>
                  </pic:blipFill>
                  <pic:spPr>
                    <a:xfrm>
                      <a:off x="0" y="0"/>
                      <a:ext cx="6639560" cy="3099435"/>
                    </a:xfrm>
                    <a:prstGeom prst="rect">
                      <a:avLst/>
                    </a:prstGeom>
                    <a:noFill/>
                    <a:ln>
                      <a:noFill/>
                    </a:ln>
                  </pic:spPr>
                </pic:pic>
              </a:graphicData>
            </a:graphic>
          </wp:inline>
        </w:drawing>
      </w:r>
    </w:p>
    <w:p>
      <w:pPr>
        <w:numPr>
          <w:ilvl w:val="0"/>
          <w:numId w:val="0"/>
        </w:numPr>
        <w:ind w:left="480" w:leftChars="0"/>
        <w:outlineLvl w:val="2"/>
        <w:rPr>
          <w:rFonts w:hint="eastAsia"/>
          <w:b/>
          <w:bCs/>
          <w:lang w:val="en-US" w:eastAsia="zh-CN"/>
        </w:rPr>
      </w:pPr>
      <w:bookmarkStart w:id="39" w:name="_Toc15199"/>
      <w:r>
        <w:rPr>
          <w:rFonts w:hint="eastAsia"/>
          <w:b/>
          <w:bCs/>
          <w:lang w:val="en-US" w:eastAsia="zh-CN"/>
        </w:rPr>
        <w:t>2.4.4招标文件编制</w:t>
      </w:r>
      <w:bookmarkEnd w:id="39"/>
    </w:p>
    <w:p>
      <w:pPr>
        <w:numPr>
          <w:ilvl w:val="0"/>
          <w:numId w:val="0"/>
        </w:numPr>
        <w:ind w:left="480" w:leftChars="0"/>
        <w:rPr>
          <w:rFonts w:hint="eastAsia"/>
          <w:lang w:val="en-US" w:eastAsia="zh-CN"/>
        </w:rPr>
      </w:pPr>
      <w:r>
        <w:rPr>
          <w:rFonts w:hint="eastAsia"/>
          <w:lang w:val="en-US" w:eastAsia="zh-CN"/>
        </w:rPr>
        <w:t xml:space="preserve">    点击对应标段点击【编辑】针对于此项目进行招标文件编制。</w:t>
      </w:r>
    </w:p>
    <w:p>
      <w:pPr>
        <w:numPr>
          <w:ilvl w:val="0"/>
          <w:numId w:val="0"/>
        </w:numPr>
        <w:ind w:left="480" w:leftChars="0"/>
        <w:rPr>
          <w:rFonts w:hint="eastAsia"/>
          <w:lang w:val="en-US" w:eastAsia="zh-CN"/>
        </w:rPr>
      </w:pPr>
      <w:r>
        <w:rPr>
          <w:rFonts w:hint="eastAsia"/>
          <w:lang w:val="en-US" w:eastAsia="zh-CN"/>
        </w:rPr>
        <w:t>【招标文件】点击在线编标，进入“在线编标系统”开始编制招标文件，填写项目基本信息；编制招标文件（根据项目要求进行评标设置）；生成招标文件（文件生成后点击“提交”招标文件自动上传）；最后在【招标文件编制】界面点击“提交”。</w:t>
      </w:r>
    </w:p>
    <w:p>
      <w:pPr>
        <w:numPr>
          <w:ilvl w:val="0"/>
          <w:numId w:val="0"/>
        </w:numPr>
        <w:ind w:left="480" w:leftChars="0"/>
      </w:pPr>
      <w:r>
        <w:drawing>
          <wp:inline distT="0" distB="0" distL="114300" distR="114300">
            <wp:extent cx="6642100" cy="3214370"/>
            <wp:effectExtent l="0" t="0" r="0" b="1143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8"/>
                    <a:stretch>
                      <a:fillRect/>
                    </a:stretch>
                  </pic:blipFill>
                  <pic:spPr>
                    <a:xfrm>
                      <a:off x="0" y="0"/>
                      <a:ext cx="6642100" cy="3214370"/>
                    </a:xfrm>
                    <a:prstGeom prst="rect">
                      <a:avLst/>
                    </a:prstGeom>
                    <a:noFill/>
                    <a:ln>
                      <a:noFill/>
                    </a:ln>
                  </pic:spPr>
                </pic:pic>
              </a:graphicData>
            </a:graphic>
          </wp:inline>
        </w:drawing>
      </w:r>
      <w:r>
        <w:drawing>
          <wp:inline distT="0" distB="0" distL="114300" distR="114300">
            <wp:extent cx="6638925" cy="3258185"/>
            <wp:effectExtent l="0" t="0" r="3175" b="571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9"/>
                    <a:stretch>
                      <a:fillRect/>
                    </a:stretch>
                  </pic:blipFill>
                  <pic:spPr>
                    <a:xfrm>
                      <a:off x="0" y="0"/>
                      <a:ext cx="6638925" cy="3258185"/>
                    </a:xfrm>
                    <a:prstGeom prst="rect">
                      <a:avLst/>
                    </a:prstGeom>
                    <a:noFill/>
                    <a:ln>
                      <a:noFill/>
                    </a:ln>
                  </pic:spPr>
                </pic:pic>
              </a:graphicData>
            </a:graphic>
          </wp:inline>
        </w:drawing>
      </w:r>
    </w:p>
    <w:p>
      <w:pPr>
        <w:numPr>
          <w:ilvl w:val="0"/>
          <w:numId w:val="0"/>
        </w:numPr>
        <w:ind w:left="480" w:leftChars="0"/>
      </w:pPr>
      <w:r>
        <w:drawing>
          <wp:inline distT="0" distB="0" distL="114300" distR="114300">
            <wp:extent cx="6644005" cy="3161665"/>
            <wp:effectExtent l="0" t="0" r="10795" b="63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30"/>
                    <a:stretch>
                      <a:fillRect/>
                    </a:stretch>
                  </pic:blipFill>
                  <pic:spPr>
                    <a:xfrm>
                      <a:off x="0" y="0"/>
                      <a:ext cx="6644005" cy="3161665"/>
                    </a:xfrm>
                    <a:prstGeom prst="rect">
                      <a:avLst/>
                    </a:prstGeom>
                    <a:noFill/>
                    <a:ln>
                      <a:noFill/>
                    </a:ln>
                  </pic:spPr>
                </pic:pic>
              </a:graphicData>
            </a:graphic>
          </wp:inline>
        </w:drawing>
      </w:r>
    </w:p>
    <w:p>
      <w:pPr>
        <w:numPr>
          <w:ilvl w:val="0"/>
          <w:numId w:val="0"/>
        </w:numPr>
        <w:ind w:left="480" w:leftChars="0"/>
        <w:outlineLvl w:val="2"/>
        <w:rPr>
          <w:rFonts w:hint="eastAsia"/>
          <w:b/>
          <w:bCs/>
          <w:lang w:val="en-US" w:eastAsia="zh-CN"/>
        </w:rPr>
      </w:pPr>
      <w:bookmarkStart w:id="40" w:name="_Toc16852"/>
      <w:r>
        <w:rPr>
          <w:rFonts w:hint="eastAsia"/>
          <w:b/>
          <w:bCs/>
          <w:lang w:val="en-US" w:eastAsia="zh-CN"/>
        </w:rPr>
        <w:t>2.4.5澄清与答疑</w:t>
      </w:r>
      <w:bookmarkEnd w:id="40"/>
    </w:p>
    <w:p>
      <w:pPr>
        <w:keepNext w:val="0"/>
        <w:keepLines w:val="0"/>
        <w:widowControl w:val="0"/>
        <w:suppressLineNumbers w:val="0"/>
        <w:spacing w:before="120" w:beforeLines="50" w:beforeAutospacing="0" w:after="120" w:afterLines="50" w:afterAutospacing="0" w:line="480" w:lineRule="auto"/>
        <w:ind w:left="0" w:right="0"/>
        <w:jc w:val="both"/>
        <w:rPr>
          <w:rFonts w:hint="default" w:ascii="宋体" w:hAnsi="宋体" w:eastAsia="宋体" w:cs="宋体"/>
          <w:kern w:val="2"/>
          <w:sz w:val="24"/>
          <w:szCs w:val="24"/>
          <w:lang w:val="en-US" w:eastAsia="zh-CN" w:bidi="ar"/>
        </w:rPr>
      </w:pPr>
      <w:r>
        <w:rPr>
          <w:rFonts w:hint="eastAsia"/>
          <w:b/>
          <w:bCs/>
          <w:lang w:val="en-US" w:eastAsia="zh-CN"/>
        </w:rPr>
        <w:t xml:space="preserve">  </w:t>
      </w:r>
      <w:r>
        <w:rPr>
          <w:rFonts w:hint="eastAsia" w:ascii="宋体" w:hAnsi="宋体" w:eastAsia="宋体" w:cs="宋体"/>
          <w:kern w:val="2"/>
          <w:sz w:val="24"/>
          <w:szCs w:val="24"/>
          <w:lang w:val="en-US" w:eastAsia="zh-CN" w:bidi="ar"/>
        </w:rPr>
        <w:t>在【澄清与答疑】界面点击“新增澄清与答疑”进入编辑页面，①延期开标时间（根据项目情况选择是否）：</w:t>
      </w:r>
      <w:r>
        <w:rPr>
          <w:rFonts w:hint="eastAsia" w:ascii="宋体" w:hAnsi="宋体" w:eastAsia="宋体" w:cs="宋体"/>
          <w:color w:val="C00000"/>
          <w:kern w:val="2"/>
          <w:sz w:val="24"/>
          <w:szCs w:val="24"/>
          <w:lang w:val="en-US" w:eastAsia="zh-CN" w:bidi="ar"/>
        </w:rPr>
        <w:t>本次操作选择“是”，需要在【场地预约及变更】界面进行开评标时间变更，再回到【澄清与答疑】界面进行操作。</w:t>
      </w:r>
      <w:r>
        <w:rPr>
          <w:rFonts w:hint="eastAsia" w:ascii="宋体" w:hAnsi="宋体" w:eastAsia="宋体" w:cs="宋体"/>
          <w:kern w:val="2"/>
          <w:sz w:val="24"/>
          <w:szCs w:val="24"/>
          <w:lang w:val="en-US" w:eastAsia="zh-CN" w:bidi="ar"/>
        </w:rPr>
        <w:t>（若【是否延期开标】选择“否”无需进行“场地预约及变更”直接进行下一步操作）。</w:t>
      </w:r>
      <w:r>
        <w:rPr>
          <w:rFonts w:hint="eastAsia" w:ascii="宋体" w:hAnsi="宋体" w:cs="宋体"/>
          <w:kern w:val="2"/>
          <w:sz w:val="24"/>
          <w:szCs w:val="24"/>
          <w:lang w:val="en-US" w:eastAsia="zh-CN" w:bidi="ar"/>
        </w:rPr>
        <w:t>填写澄清与答疑的内容及时间，若有“附件”进行上传。</w:t>
      </w:r>
    </w:p>
    <w:p>
      <w:pPr>
        <w:keepNext w:val="0"/>
        <w:keepLines w:val="0"/>
        <w:widowControl w:val="0"/>
        <w:suppressLineNumbers w:val="0"/>
        <w:spacing w:before="120" w:beforeLines="50" w:beforeAutospacing="0" w:after="120" w:afterLines="50" w:afterAutospacing="0" w:line="480" w:lineRule="auto"/>
        <w:ind w:left="0" w:right="0"/>
        <w:jc w:val="both"/>
        <w:rPr>
          <w:rFonts w:hint="default"/>
          <w:b/>
          <w:bCs/>
          <w:lang w:val="en-US" w:eastAsia="zh-CN"/>
        </w:rPr>
      </w:pPr>
      <w:r>
        <w:rPr>
          <w:rFonts w:hint="eastAsia" w:ascii="宋体" w:hAnsi="宋体" w:eastAsia="宋体" w:cs="宋体"/>
          <w:b/>
          <w:bCs/>
          <w:color w:val="C00000"/>
          <w:kern w:val="2"/>
          <w:sz w:val="24"/>
          <w:szCs w:val="24"/>
          <w:lang w:val="en-US" w:eastAsia="zh-CN" w:bidi="ar"/>
        </w:rPr>
        <w:t>【此环节需监管审批】</w:t>
      </w:r>
    </w:p>
    <w:p>
      <w:pPr>
        <w:numPr>
          <w:ilvl w:val="0"/>
          <w:numId w:val="0"/>
        </w:numPr>
        <w:ind w:left="480" w:leftChars="0"/>
        <w:rPr>
          <w:rFonts w:hint="default"/>
          <w:b/>
          <w:bCs/>
          <w:lang w:val="en-US" w:eastAsia="zh-CN"/>
        </w:rPr>
      </w:pPr>
    </w:p>
    <w:p>
      <w:pPr>
        <w:numPr>
          <w:ilvl w:val="0"/>
          <w:numId w:val="0"/>
        </w:numPr>
        <w:ind w:left="480" w:leftChars="0"/>
      </w:pPr>
      <w:r>
        <w:drawing>
          <wp:inline distT="0" distB="0" distL="114300" distR="114300">
            <wp:extent cx="6638925" cy="3261995"/>
            <wp:effectExtent l="0" t="0" r="3175"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
                    <a:stretch>
                      <a:fillRect/>
                    </a:stretch>
                  </pic:blipFill>
                  <pic:spPr>
                    <a:xfrm>
                      <a:off x="0" y="0"/>
                      <a:ext cx="6638925" cy="3261995"/>
                    </a:xfrm>
                    <a:prstGeom prst="rect">
                      <a:avLst/>
                    </a:prstGeom>
                    <a:noFill/>
                    <a:ln>
                      <a:noFill/>
                    </a:ln>
                  </pic:spPr>
                </pic:pic>
              </a:graphicData>
            </a:graphic>
          </wp:inline>
        </w:drawing>
      </w:r>
      <w:r>
        <w:drawing>
          <wp:inline distT="0" distB="0" distL="114300" distR="114300">
            <wp:extent cx="6642735" cy="3248660"/>
            <wp:effectExtent l="0" t="0" r="12065"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2"/>
                    <a:stretch>
                      <a:fillRect/>
                    </a:stretch>
                  </pic:blipFill>
                  <pic:spPr>
                    <a:xfrm>
                      <a:off x="0" y="0"/>
                      <a:ext cx="6642735" cy="3248660"/>
                    </a:xfrm>
                    <a:prstGeom prst="rect">
                      <a:avLst/>
                    </a:prstGeom>
                    <a:noFill/>
                    <a:ln>
                      <a:noFill/>
                    </a:ln>
                  </pic:spPr>
                </pic:pic>
              </a:graphicData>
            </a:graphic>
          </wp:inline>
        </w:drawing>
      </w:r>
      <w:r>
        <w:drawing>
          <wp:inline distT="0" distB="0" distL="114300" distR="114300">
            <wp:extent cx="6645910" cy="2708910"/>
            <wp:effectExtent l="0" t="0" r="889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3"/>
                    <a:stretch>
                      <a:fillRect/>
                    </a:stretch>
                  </pic:blipFill>
                  <pic:spPr>
                    <a:xfrm>
                      <a:off x="0" y="0"/>
                      <a:ext cx="6645910" cy="2708910"/>
                    </a:xfrm>
                    <a:prstGeom prst="rect">
                      <a:avLst/>
                    </a:prstGeom>
                    <a:noFill/>
                    <a:ln>
                      <a:noFill/>
                    </a:ln>
                  </pic:spPr>
                </pic:pic>
              </a:graphicData>
            </a:graphic>
          </wp:inline>
        </w:drawing>
      </w:r>
    </w:p>
    <w:p>
      <w:pPr>
        <w:numPr>
          <w:ilvl w:val="0"/>
          <w:numId w:val="0"/>
        </w:numPr>
        <w:ind w:left="480" w:leftChars="0"/>
        <w:outlineLvl w:val="2"/>
        <w:rPr>
          <w:rFonts w:hint="eastAsia"/>
          <w:b/>
          <w:bCs/>
          <w:lang w:val="en-US" w:eastAsia="zh-CN"/>
        </w:rPr>
      </w:pPr>
      <w:bookmarkStart w:id="41" w:name="_Toc27123"/>
      <w:r>
        <w:rPr>
          <w:rFonts w:hint="eastAsia"/>
          <w:b/>
          <w:bCs/>
          <w:lang w:val="en-US" w:eastAsia="zh-CN"/>
        </w:rPr>
        <w:t>2.4.6招标控制价备案</w:t>
      </w:r>
      <w:bookmarkEnd w:id="41"/>
    </w:p>
    <w:p>
      <w:pPr>
        <w:numPr>
          <w:ilvl w:val="0"/>
          <w:numId w:val="0"/>
        </w:numPr>
        <w:ind w:left="480" w:leftChars="0"/>
        <w:rPr>
          <w:rFonts w:hint="eastAsia"/>
          <w:b/>
          <w:bCs/>
          <w:lang w:val="en-US" w:eastAsia="zh-CN"/>
        </w:rPr>
      </w:pPr>
      <w:r>
        <w:rPr>
          <w:rFonts w:hint="eastAsia"/>
          <w:b/>
          <w:bCs/>
          <w:lang w:val="en-US" w:eastAsia="zh-CN"/>
        </w:rPr>
        <w:t xml:space="preserve">   在【招标控制价备案】界面，直接上传招标控制价相关附件。</w:t>
      </w:r>
    </w:p>
    <w:p>
      <w:pPr>
        <w:numPr>
          <w:ilvl w:val="0"/>
          <w:numId w:val="0"/>
        </w:numPr>
        <w:ind w:left="480" w:leftChars="0"/>
      </w:pPr>
      <w:r>
        <w:rPr>
          <w:rFonts w:hint="eastAsia"/>
          <w:b/>
          <w:bCs/>
          <w:color w:val="C00000"/>
          <w:lang w:val="en-US" w:eastAsia="zh-CN"/>
        </w:rPr>
        <w:t>备注：此环节无需使用【在线编标】控制价，直接做好上传pdf。</w:t>
      </w:r>
    </w:p>
    <w:p>
      <w:pPr>
        <w:numPr>
          <w:ilvl w:val="0"/>
          <w:numId w:val="0"/>
        </w:numPr>
        <w:rPr>
          <w:rFonts w:hint="eastAsia"/>
          <w:b/>
          <w:bCs/>
          <w:lang w:val="en-US" w:eastAsia="zh-CN"/>
        </w:rPr>
      </w:pPr>
      <w:r>
        <w:drawing>
          <wp:inline distT="0" distB="0" distL="114300" distR="114300">
            <wp:extent cx="6637655" cy="3261360"/>
            <wp:effectExtent l="0" t="0" r="4445" b="254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4"/>
                    <a:stretch>
                      <a:fillRect/>
                    </a:stretch>
                  </pic:blipFill>
                  <pic:spPr>
                    <a:xfrm>
                      <a:off x="0" y="0"/>
                      <a:ext cx="6637655" cy="3261360"/>
                    </a:xfrm>
                    <a:prstGeom prst="rect">
                      <a:avLst/>
                    </a:prstGeom>
                    <a:noFill/>
                    <a:ln>
                      <a:noFill/>
                    </a:ln>
                  </pic:spPr>
                </pic:pic>
              </a:graphicData>
            </a:graphic>
          </wp:inline>
        </w:drawing>
      </w:r>
    </w:p>
    <w:p>
      <w:pPr>
        <w:numPr>
          <w:ilvl w:val="0"/>
          <w:numId w:val="0"/>
        </w:numPr>
        <w:ind w:left="480" w:leftChars="0"/>
        <w:outlineLvl w:val="2"/>
        <w:rPr>
          <w:rFonts w:hint="eastAsia"/>
          <w:b/>
          <w:bCs/>
          <w:lang w:val="en-US" w:eastAsia="zh-CN"/>
        </w:rPr>
      </w:pPr>
      <w:bookmarkStart w:id="42" w:name="_Toc30802"/>
      <w:r>
        <w:rPr>
          <w:rFonts w:hint="eastAsia"/>
          <w:b/>
          <w:bCs/>
          <w:lang w:val="en-US" w:eastAsia="zh-CN"/>
        </w:rPr>
        <w:t>2.4.7招标远程开标</w:t>
      </w:r>
      <w:bookmarkEnd w:id="42"/>
    </w:p>
    <w:p>
      <w:pPr>
        <w:outlineLvl w:val="9"/>
        <w:rPr>
          <w:rFonts w:hint="eastAsia" w:asciiTheme="minorEastAsia" w:hAnsiTheme="minorEastAsia" w:eastAsiaTheme="minorEastAsia" w:cstheme="minorEastAsia"/>
          <w:bCs w:val="0"/>
          <w:color w:val="000000"/>
          <w:kern w:val="28"/>
          <w:sz w:val="24"/>
          <w:szCs w:val="24"/>
        </w:rPr>
      </w:pPr>
      <w:r>
        <w:rPr>
          <w:rFonts w:hint="eastAsia"/>
          <w:lang w:val="en-US" w:eastAsia="zh-CN"/>
        </w:rPr>
        <w:t xml:space="preserve">   </w:t>
      </w:r>
      <w:r>
        <w:rPr>
          <w:rFonts w:hint="eastAsia" w:ascii="Times New Roman" w:hAnsi="Times New Roman" w:eastAsia="宋体" w:cs="Times New Roman"/>
          <w:b/>
          <w:bCs/>
          <w:kern w:val="2"/>
          <w:sz w:val="24"/>
          <w:szCs w:val="24"/>
          <w:lang w:val="en-US" w:eastAsia="zh-CN" w:bidi="ar-SA"/>
        </w:rPr>
        <w:t xml:space="preserve">  2.</w:t>
      </w:r>
      <w:r>
        <w:rPr>
          <w:rFonts w:hint="eastAsia" w:ascii="Times New Roman" w:hAnsi="Times New Roman" w:cs="Times New Roman"/>
          <w:b/>
          <w:bCs/>
          <w:kern w:val="2"/>
          <w:sz w:val="24"/>
          <w:szCs w:val="24"/>
          <w:lang w:val="en-US" w:eastAsia="zh-CN" w:bidi="ar-SA"/>
        </w:rPr>
        <w:t>4</w:t>
      </w:r>
      <w:r>
        <w:rPr>
          <w:rFonts w:hint="eastAsia" w:ascii="Times New Roman" w:hAnsi="Times New Roman" w:eastAsia="宋体" w:cs="Times New Roman"/>
          <w:b/>
          <w:bCs/>
          <w:kern w:val="2"/>
          <w:sz w:val="24"/>
          <w:szCs w:val="24"/>
          <w:lang w:val="en-US" w:eastAsia="zh-CN" w:bidi="ar-SA"/>
        </w:rPr>
        <w:t>.</w:t>
      </w:r>
      <w:r>
        <w:rPr>
          <w:rFonts w:hint="eastAsia" w:ascii="Times New Roman" w:hAnsi="Times New Roman" w:cs="Times New Roman"/>
          <w:b/>
          <w:bCs/>
          <w:kern w:val="2"/>
          <w:sz w:val="24"/>
          <w:szCs w:val="24"/>
          <w:lang w:val="en-US" w:eastAsia="zh-CN" w:bidi="ar-SA"/>
        </w:rPr>
        <w:t>7</w:t>
      </w:r>
      <w:r>
        <w:rPr>
          <w:rFonts w:hint="eastAsia" w:ascii="Times New Roman" w:hAnsi="Times New Roman" w:eastAsia="宋体" w:cs="Times New Roman"/>
          <w:b/>
          <w:bCs/>
          <w:kern w:val="2"/>
          <w:sz w:val="24"/>
          <w:szCs w:val="24"/>
          <w:lang w:val="en-US" w:eastAsia="zh-CN" w:bidi="ar-SA"/>
        </w:rPr>
        <w:t>.1招标代理登录远程开标大厅</w:t>
      </w:r>
    </w:p>
    <w:p>
      <w:pPr>
        <w:numPr>
          <w:ilvl w:val="0"/>
          <w:numId w:val="0"/>
        </w:numPr>
        <w:ind w:left="480" w:leftChars="0"/>
        <w:rPr>
          <w:rFonts w:hint="eastAsia"/>
          <w:lang w:val="en-US" w:eastAsia="zh-CN"/>
        </w:rPr>
      </w:pPr>
      <w:r>
        <w:rPr>
          <w:rFonts w:hint="eastAsia"/>
          <w:lang w:val="en-US" w:eastAsia="zh-CN"/>
        </w:rPr>
        <w:t>在交易平台项目开标前 1 小时内，招标代理点击不见面开标网址“</w:t>
      </w:r>
      <w:r>
        <w:rPr>
          <w:rFonts w:hint="eastAsia"/>
          <w:lang w:val="en-US" w:eastAsia="zh-CN"/>
        </w:rPr>
        <w:fldChar w:fldCharType="begin"/>
      </w:r>
      <w:r>
        <w:rPr>
          <w:rFonts w:hint="eastAsia"/>
          <w:lang w:val="en-US" w:eastAsia="zh-CN"/>
        </w:rPr>
        <w:instrText xml:space="preserve"> HYPERLINK "http://124.115.168.54:6780/gb-web" </w:instrText>
      </w:r>
      <w:r>
        <w:rPr>
          <w:rFonts w:hint="eastAsia"/>
          <w:lang w:val="en-US" w:eastAsia="zh-CN"/>
        </w:rPr>
        <w:fldChar w:fldCharType="separate"/>
      </w:r>
      <w:r>
        <w:rPr>
          <w:rFonts w:hint="eastAsia"/>
          <w:lang w:val="en-US" w:eastAsia="zh-CN"/>
        </w:rPr>
        <w:t>http://124.115.168.54:6781</w:t>
      </w:r>
      <w:r>
        <w:rPr>
          <w:rFonts w:hint="eastAsia"/>
          <w:lang w:val="en-US" w:eastAsia="zh-CN"/>
        </w:rPr>
        <w:fldChar w:fldCharType="end"/>
      </w:r>
      <w:r>
        <w:rPr>
          <w:rFonts w:hint="eastAsia"/>
          <w:lang w:val="en-US" w:eastAsia="zh-CN"/>
        </w:rPr>
        <w:t>/”，用CA锁登录，进入选择【招标代理】角色进入系统。</w:t>
      </w:r>
    </w:p>
    <w:p>
      <w:pPr>
        <w:numPr>
          <w:ilvl w:val="0"/>
          <w:numId w:val="0"/>
        </w:numPr>
        <w:ind w:left="480" w:leftChars="0"/>
        <w:rPr>
          <w:rFonts w:hint="eastAsia"/>
          <w:lang w:val="en-US" w:eastAsia="zh-CN"/>
        </w:rPr>
      </w:pPr>
      <w:r>
        <w:rPr>
          <w:rFonts w:hint="eastAsia"/>
          <w:lang w:val="en-US" w:eastAsia="zh-CN"/>
        </w:rPr>
        <w:drawing>
          <wp:inline distT="0" distB="0" distL="114300" distR="114300">
            <wp:extent cx="6396355" cy="2224405"/>
            <wp:effectExtent l="0" t="0" r="4445" b="10795"/>
            <wp:docPr id="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0"/>
                    <pic:cNvPicPr>
                      <a:picLocks noChangeAspect="1"/>
                    </pic:cNvPicPr>
                  </pic:nvPicPr>
                  <pic:blipFill>
                    <a:blip r:embed="rId35"/>
                    <a:stretch>
                      <a:fillRect/>
                    </a:stretch>
                  </pic:blipFill>
                  <pic:spPr>
                    <a:xfrm>
                      <a:off x="0" y="0"/>
                      <a:ext cx="6396355" cy="2224405"/>
                    </a:xfrm>
                    <a:prstGeom prst="rect">
                      <a:avLst/>
                    </a:prstGeom>
                    <a:noFill/>
                    <a:ln>
                      <a:noFill/>
                    </a:ln>
                  </pic:spPr>
                </pic:pic>
              </a:graphicData>
            </a:graphic>
          </wp:inline>
        </w:drawing>
      </w:r>
    </w:p>
    <w:p>
      <w:pPr>
        <w:numPr>
          <w:ilvl w:val="0"/>
          <w:numId w:val="0"/>
        </w:numPr>
        <w:ind w:left="480" w:leftChars="0"/>
        <w:rPr>
          <w:rFonts w:hint="eastAsia"/>
          <w:lang w:val="en-US" w:eastAsia="zh-CN"/>
        </w:rPr>
      </w:pPr>
      <w:r>
        <w:rPr>
          <w:rFonts w:hint="eastAsia"/>
          <w:lang w:val="en-US" w:eastAsia="zh-CN"/>
        </w:rPr>
        <w:drawing>
          <wp:inline distT="0" distB="0" distL="114300" distR="114300">
            <wp:extent cx="6381115" cy="2510790"/>
            <wp:effectExtent l="0" t="0" r="6985" b="3810"/>
            <wp:docPr id="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1"/>
                    <pic:cNvPicPr>
                      <a:picLocks noChangeAspect="1"/>
                    </pic:cNvPicPr>
                  </pic:nvPicPr>
                  <pic:blipFill>
                    <a:blip r:embed="rId36"/>
                    <a:stretch>
                      <a:fillRect/>
                    </a:stretch>
                  </pic:blipFill>
                  <pic:spPr>
                    <a:xfrm>
                      <a:off x="0" y="0"/>
                      <a:ext cx="6381115" cy="2510790"/>
                    </a:xfrm>
                    <a:prstGeom prst="rect">
                      <a:avLst/>
                    </a:prstGeom>
                    <a:noFill/>
                    <a:ln>
                      <a:noFill/>
                    </a:ln>
                  </pic:spPr>
                </pic:pic>
              </a:graphicData>
            </a:graphic>
          </wp:inline>
        </w:drawing>
      </w:r>
    </w:p>
    <w:p>
      <w:pPr>
        <w:numPr>
          <w:ilvl w:val="0"/>
          <w:numId w:val="0"/>
        </w:numPr>
        <w:ind w:left="480" w:leftChars="0"/>
        <w:outlineLvl w:val="9"/>
        <w:rPr>
          <w:rFonts w:hint="eastAsia"/>
          <w:b/>
          <w:bCs/>
          <w:lang w:val="en-US" w:eastAsia="zh-CN"/>
        </w:rPr>
      </w:pPr>
      <w:r>
        <w:rPr>
          <w:rFonts w:hint="eastAsia"/>
          <w:b/>
          <w:bCs/>
          <w:lang w:val="en-US" w:eastAsia="zh-CN"/>
        </w:rPr>
        <w:t xml:space="preserve">     2.4.7.2招标代理远程开标环境检测</w:t>
      </w:r>
    </w:p>
    <w:p>
      <w:pPr>
        <w:numPr>
          <w:ilvl w:val="0"/>
          <w:numId w:val="0"/>
        </w:numPr>
        <w:ind w:left="480" w:leftChars="0"/>
        <w:rPr>
          <w:rFonts w:hint="eastAsia"/>
          <w:lang w:val="en-US" w:eastAsia="zh-CN"/>
        </w:rPr>
      </w:pPr>
      <w:r>
        <w:rPr>
          <w:rFonts w:hint="eastAsia"/>
          <w:lang w:val="en-US" w:eastAsia="zh-CN"/>
        </w:rPr>
        <w:t>“招标代理”在进入远程开标大厅前需要进行电脑环境检测：</w:t>
      </w:r>
    </w:p>
    <w:p>
      <w:pPr>
        <w:numPr>
          <w:ilvl w:val="0"/>
          <w:numId w:val="0"/>
        </w:numPr>
        <w:ind w:left="480" w:leftChars="0"/>
        <w:rPr>
          <w:rFonts w:hint="eastAsia"/>
          <w:lang w:val="en-US" w:eastAsia="zh-CN"/>
        </w:rPr>
      </w:pPr>
      <w:r>
        <w:rPr>
          <w:rFonts w:hint="eastAsia"/>
          <w:lang w:val="en-US" w:eastAsia="zh-CN"/>
        </w:rPr>
        <w:t>步骤一：点击进行电脑环境检测（推荐使用ie11浏览器），环境提前进行设置.</w:t>
      </w:r>
    </w:p>
    <w:p>
      <w:pPr>
        <w:numPr>
          <w:ilvl w:val="0"/>
          <w:numId w:val="0"/>
        </w:numPr>
        <w:ind w:left="480" w:leftChars="0"/>
        <w:rPr>
          <w:rFonts w:hint="eastAsia"/>
          <w:lang w:val="en-US" w:eastAsia="zh-CN"/>
        </w:rPr>
      </w:pPr>
      <w:r>
        <w:rPr>
          <w:rFonts w:hint="eastAsia"/>
          <w:lang w:val="en-US" w:eastAsia="zh-CN"/>
        </w:rPr>
        <w:t>ie浏览器设置方法参照此网址：</w:t>
      </w:r>
    </w:p>
    <w:p>
      <w:pPr>
        <w:numPr>
          <w:ilvl w:val="0"/>
          <w:numId w:val="0"/>
        </w:numPr>
        <w:ind w:left="480" w:leftChars="0"/>
        <w:rPr>
          <w:rFonts w:hint="eastAsia"/>
          <w:lang w:val="en-US" w:eastAsia="zh-CN"/>
        </w:rPr>
      </w:pPr>
      <w:r>
        <w:rPr>
          <w:rFonts w:hint="eastAsia"/>
          <w:lang w:val="en-US" w:eastAsia="zh-CN"/>
        </w:rPr>
        <w:fldChar w:fldCharType="begin"/>
      </w:r>
      <w:r>
        <w:rPr>
          <w:rFonts w:hint="eastAsia"/>
          <w:lang w:val="en-US" w:eastAsia="zh-CN"/>
        </w:rPr>
        <w:instrText xml:space="preserve"> HYPERLINK "http://124.115.168.54:8887/u/cms/com.ggzyjy.www/202101/04092320pkpq.pdf" </w:instrText>
      </w:r>
      <w:r>
        <w:rPr>
          <w:rFonts w:hint="eastAsia"/>
          <w:lang w:val="en-US" w:eastAsia="zh-CN"/>
        </w:rPr>
        <w:fldChar w:fldCharType="separate"/>
      </w:r>
      <w:r>
        <w:rPr>
          <w:rFonts w:hint="eastAsia"/>
          <w:lang w:val="en-US" w:eastAsia="zh-CN"/>
        </w:rPr>
        <w:t>http://124.115.168.54:8887/u/cms/com.ggzyjy.www/202101/04092320pkpq.pdf</w:t>
      </w:r>
      <w:r>
        <w:rPr>
          <w:rFonts w:hint="eastAsia"/>
          <w:lang w:val="en-US" w:eastAsia="zh-CN"/>
        </w:rPr>
        <w:fldChar w:fldCharType="end"/>
      </w:r>
    </w:p>
    <w:p>
      <w:pPr>
        <w:numPr>
          <w:ilvl w:val="0"/>
          <w:numId w:val="0"/>
        </w:numPr>
        <w:ind w:left="480" w:leftChars="0"/>
        <w:rPr>
          <w:rFonts w:hint="eastAsia"/>
          <w:lang w:val="en-US" w:eastAsia="zh-CN"/>
        </w:rPr>
      </w:pPr>
      <w:r>
        <w:rPr>
          <w:rFonts w:hint="eastAsia"/>
          <w:lang w:val="en-US" w:eastAsia="zh-CN"/>
        </w:rPr>
        <w:t>步骤二：弹出的框里面输入加密锁密码，进行加密锁校验，校验成功后会再次弹出输入密码界面，输入密码后后进入开标大厅</w:t>
      </w:r>
    </w:p>
    <w:p>
      <w:pPr>
        <w:numPr>
          <w:ilvl w:val="0"/>
          <w:numId w:val="0"/>
        </w:numPr>
        <w:ind w:left="480" w:leftChars="0"/>
        <w:rPr>
          <w:rFonts w:hint="eastAsia"/>
          <w:lang w:val="en-US" w:eastAsia="zh-CN"/>
        </w:rPr>
      </w:pPr>
      <w:r>
        <w:rPr>
          <w:rFonts w:hint="eastAsia"/>
          <w:lang w:val="en-US" w:eastAsia="zh-CN"/>
        </w:rPr>
        <w:drawing>
          <wp:inline distT="0" distB="0" distL="114300" distR="114300">
            <wp:extent cx="6543675" cy="2893695"/>
            <wp:effectExtent l="0" t="0" r="9525" b="1905"/>
            <wp:docPr id="43" name="图片 32" descr="169052746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2" descr="1690527464200"/>
                    <pic:cNvPicPr>
                      <a:picLocks noChangeAspect="1"/>
                    </pic:cNvPicPr>
                  </pic:nvPicPr>
                  <pic:blipFill>
                    <a:blip r:embed="rId37"/>
                    <a:stretch>
                      <a:fillRect/>
                    </a:stretch>
                  </pic:blipFill>
                  <pic:spPr>
                    <a:xfrm>
                      <a:off x="0" y="0"/>
                      <a:ext cx="6543675" cy="2893695"/>
                    </a:xfrm>
                    <a:prstGeom prst="rect">
                      <a:avLst/>
                    </a:prstGeom>
                    <a:noFill/>
                    <a:ln>
                      <a:noFill/>
                    </a:ln>
                  </pic:spPr>
                </pic:pic>
              </a:graphicData>
            </a:graphic>
          </wp:inline>
        </w:drawing>
      </w:r>
    </w:p>
    <w:p>
      <w:pPr>
        <w:numPr>
          <w:ilvl w:val="0"/>
          <w:numId w:val="0"/>
        </w:numPr>
        <w:ind w:left="480" w:leftChars="0"/>
        <w:rPr>
          <w:rFonts w:hint="eastAsia"/>
          <w:lang w:val="en-US" w:eastAsia="zh-CN"/>
        </w:rPr>
      </w:pPr>
    </w:p>
    <w:p>
      <w:pPr>
        <w:pStyle w:val="28"/>
        <w:ind w:left="807" w:right="240"/>
        <w:rPr>
          <w:rFonts w:hint="eastAsia"/>
          <w:color w:val="C00000"/>
          <w:lang w:val="en-US" w:eastAsia="zh-CN"/>
        </w:rPr>
      </w:pPr>
      <w:bookmarkStart w:id="43" w:name="_Toc21290"/>
      <w:bookmarkStart w:id="44" w:name="_Toc19829"/>
      <w:r>
        <w:rPr>
          <w:rFonts w:hint="eastAsia"/>
          <w:color w:val="C00000"/>
          <w:lang w:val="en-US" w:eastAsia="zh-CN"/>
        </w:rPr>
        <w:t>开标流程</w:t>
      </w:r>
      <w:bookmarkEnd w:id="43"/>
      <w:bookmarkEnd w:id="44"/>
    </w:p>
    <w:p>
      <w:pPr>
        <w:outlineLvl w:val="2"/>
        <w:rPr>
          <w:rFonts w:hint="eastAsia"/>
          <w:lang w:val="en-US" w:eastAsia="zh-CN"/>
        </w:rPr>
      </w:pPr>
      <w:bookmarkStart w:id="45" w:name="_Toc20474"/>
      <w:r>
        <w:rPr>
          <w:rFonts w:hint="eastAsia"/>
          <w:lang w:val="en-US" w:eastAsia="zh-CN"/>
        </w:rPr>
        <w:t>2.5.1、开标准备</w:t>
      </w:r>
      <w:bookmarkEnd w:id="45"/>
    </w:p>
    <w:p>
      <w:pPr>
        <w:ind w:firstLine="480"/>
        <w:rPr>
          <w:rFonts w:hint="eastAsia" w:ascii="宋体" w:hAnsi="宋体" w:cs="宋体"/>
          <w:bCs/>
          <w:color w:val="000000"/>
          <w:kern w:val="28"/>
          <w:sz w:val="24"/>
          <w:szCs w:val="24"/>
          <w:lang w:val="en-US" w:eastAsia="zh-CN" w:bidi="ar"/>
        </w:rPr>
      </w:pPr>
      <w:r>
        <w:rPr>
          <w:rFonts w:hint="eastAsia" w:ascii="宋体" w:hAnsi="宋体" w:eastAsia="宋体" w:cs="宋体"/>
          <w:bCs/>
          <w:color w:val="000000"/>
          <w:kern w:val="28"/>
          <w:sz w:val="24"/>
          <w:szCs w:val="24"/>
          <w:lang w:val="en-US" w:eastAsia="zh-CN" w:bidi="ar"/>
        </w:rPr>
        <w:t>进入远程开标大厅，可以跳转至本项目的开标界面，点击下图中【</w:t>
      </w:r>
      <w:r>
        <w:rPr>
          <w:rFonts w:hint="eastAsia" w:ascii="宋体" w:hAnsi="宋体" w:cs="宋体"/>
          <w:bCs/>
          <w:color w:val="000000"/>
          <w:kern w:val="28"/>
          <w:sz w:val="24"/>
          <w:szCs w:val="24"/>
          <w:lang w:val="en-US" w:eastAsia="zh-CN" w:bidi="ar"/>
        </w:rPr>
        <w:t>开标准备</w:t>
      </w:r>
      <w:r>
        <w:rPr>
          <w:rFonts w:hint="eastAsia" w:ascii="宋体" w:hAnsi="宋体" w:eastAsia="宋体" w:cs="宋体"/>
          <w:bCs/>
          <w:color w:val="000000"/>
          <w:kern w:val="28"/>
          <w:sz w:val="24"/>
          <w:szCs w:val="24"/>
          <w:lang w:val="en-US" w:eastAsia="zh-CN" w:bidi="ar"/>
        </w:rPr>
        <w:t>】，可以查看报名的投标单位</w:t>
      </w:r>
      <w:r>
        <w:rPr>
          <w:rFonts w:hint="eastAsia" w:ascii="宋体" w:hAnsi="宋体" w:cs="宋体"/>
          <w:bCs/>
          <w:color w:val="000000"/>
          <w:kern w:val="28"/>
          <w:sz w:val="24"/>
          <w:szCs w:val="24"/>
          <w:lang w:val="en-US" w:eastAsia="zh-CN" w:bidi="ar"/>
        </w:rPr>
        <w:t>标书及保证金递交情况。</w:t>
      </w:r>
    </w:p>
    <w:p>
      <w:pPr>
        <w:ind w:firstLine="480"/>
        <w:rPr>
          <w:rFonts w:hint="default" w:ascii="宋体" w:hAnsi="宋体" w:cs="宋体"/>
          <w:bCs/>
          <w:color w:val="000000"/>
          <w:kern w:val="28"/>
          <w:sz w:val="24"/>
          <w:szCs w:val="24"/>
          <w:lang w:val="en-US" w:eastAsia="zh-CN" w:bidi="ar"/>
        </w:rPr>
      </w:pPr>
      <w:r>
        <w:drawing>
          <wp:inline distT="0" distB="0" distL="114300" distR="114300">
            <wp:extent cx="6637020" cy="3377565"/>
            <wp:effectExtent l="0" t="0" r="5080" b="63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38"/>
                    <a:stretch>
                      <a:fillRect/>
                    </a:stretch>
                  </pic:blipFill>
                  <pic:spPr>
                    <a:xfrm>
                      <a:off x="0" y="0"/>
                      <a:ext cx="6637020" cy="3377565"/>
                    </a:xfrm>
                    <a:prstGeom prst="rect">
                      <a:avLst/>
                    </a:prstGeom>
                    <a:noFill/>
                    <a:ln>
                      <a:noFill/>
                    </a:ln>
                  </pic:spPr>
                </pic:pic>
              </a:graphicData>
            </a:graphic>
          </wp:inline>
        </w:drawing>
      </w:r>
    </w:p>
    <w:p>
      <w:pPr>
        <w:numPr>
          <w:ilvl w:val="0"/>
          <w:numId w:val="0"/>
        </w:numPr>
        <w:ind w:left="480" w:leftChars="0"/>
        <w:outlineLvl w:val="2"/>
        <w:rPr>
          <w:rFonts w:hint="eastAsia"/>
          <w:lang w:val="en-US" w:eastAsia="zh-CN"/>
        </w:rPr>
      </w:pPr>
      <w:bookmarkStart w:id="46" w:name="_Toc31379"/>
      <w:r>
        <w:rPr>
          <w:rFonts w:hint="eastAsia"/>
          <w:lang w:val="en-US" w:eastAsia="zh-CN"/>
        </w:rPr>
        <w:t>2.5.2、公布投标人名单</w:t>
      </w:r>
      <w:bookmarkEnd w:id="46"/>
    </w:p>
    <w:p>
      <w:pPr>
        <w:keepNext w:val="0"/>
        <w:keepLines w:val="0"/>
        <w:widowControl w:val="0"/>
        <w:suppressLineNumbers w:val="0"/>
        <w:spacing w:before="0" w:beforeAutospacing="0" w:after="0" w:afterAutospacing="0"/>
        <w:ind w:left="0" w:right="0" w:firstLine="960" w:firstLineChars="400"/>
        <w:jc w:val="both"/>
        <w:rPr>
          <w:rFonts w:hint="eastAsia"/>
          <w:lang w:val="en-US" w:eastAsia="zh-CN"/>
        </w:rPr>
      </w:pPr>
      <w:r>
        <w:rPr>
          <w:rFonts w:hint="eastAsia" w:ascii="宋体" w:hAnsi="宋体" w:eastAsia="宋体" w:cs="宋体"/>
          <w:bCs/>
          <w:color w:val="000000"/>
          <w:kern w:val="28"/>
          <w:sz w:val="24"/>
          <w:szCs w:val="24"/>
          <w:lang w:val="en-US" w:eastAsia="zh-CN" w:bidi="ar"/>
        </w:rPr>
        <w:t>点击【公布投标人情况】对所有投标单位的文件递交</w:t>
      </w:r>
      <w:r>
        <w:rPr>
          <w:rFonts w:hint="eastAsia" w:ascii="宋体" w:hAnsi="宋体" w:cs="宋体"/>
          <w:bCs/>
          <w:color w:val="000000"/>
          <w:kern w:val="28"/>
          <w:sz w:val="24"/>
          <w:szCs w:val="24"/>
          <w:lang w:val="en-US" w:eastAsia="zh-CN" w:bidi="ar"/>
        </w:rPr>
        <w:t>及保证金缴纳</w:t>
      </w:r>
      <w:r>
        <w:rPr>
          <w:rFonts w:hint="eastAsia" w:ascii="宋体" w:hAnsi="宋体" w:eastAsia="宋体" w:cs="宋体"/>
          <w:bCs/>
          <w:color w:val="000000"/>
          <w:kern w:val="28"/>
          <w:sz w:val="24"/>
          <w:szCs w:val="24"/>
          <w:lang w:val="en-US" w:eastAsia="zh-CN" w:bidi="ar"/>
        </w:rPr>
        <w:t>状态进行公示。</w:t>
      </w:r>
    </w:p>
    <w:p>
      <w:pPr>
        <w:numPr>
          <w:ilvl w:val="0"/>
          <w:numId w:val="0"/>
        </w:numPr>
        <w:ind w:left="480" w:leftChars="0"/>
      </w:pPr>
      <w:r>
        <w:drawing>
          <wp:inline distT="0" distB="0" distL="114300" distR="114300">
            <wp:extent cx="6638925" cy="3314065"/>
            <wp:effectExtent l="0" t="0" r="3175" b="63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9"/>
                    <a:stretch>
                      <a:fillRect/>
                    </a:stretch>
                  </pic:blipFill>
                  <pic:spPr>
                    <a:xfrm>
                      <a:off x="0" y="0"/>
                      <a:ext cx="6638925" cy="3314065"/>
                    </a:xfrm>
                    <a:prstGeom prst="rect">
                      <a:avLst/>
                    </a:prstGeom>
                    <a:noFill/>
                    <a:ln>
                      <a:noFill/>
                    </a:ln>
                  </pic:spPr>
                </pic:pic>
              </a:graphicData>
            </a:graphic>
          </wp:inline>
        </w:drawing>
      </w:r>
    </w:p>
    <w:p>
      <w:pPr>
        <w:numPr>
          <w:ilvl w:val="0"/>
          <w:numId w:val="0"/>
        </w:numPr>
        <w:ind w:left="480" w:leftChars="0"/>
        <w:outlineLvl w:val="2"/>
        <w:rPr>
          <w:rFonts w:hint="eastAsia"/>
          <w:lang w:val="en-US" w:eastAsia="zh-CN"/>
        </w:rPr>
      </w:pPr>
      <w:bookmarkStart w:id="47" w:name="_Toc31870"/>
      <w:r>
        <w:rPr>
          <w:rFonts w:hint="eastAsia"/>
          <w:lang w:val="en-US" w:eastAsia="zh-CN"/>
        </w:rPr>
        <w:t>2.5.3、第一信封投标文件解密</w:t>
      </w:r>
      <w:bookmarkEnd w:id="47"/>
    </w:p>
    <w:p>
      <w:pPr>
        <w:keepNext w:val="0"/>
        <w:keepLines w:val="0"/>
        <w:widowControl w:val="0"/>
        <w:suppressLineNumbers w:val="0"/>
        <w:spacing w:before="0" w:beforeAutospacing="0" w:after="0" w:afterAutospacing="0"/>
        <w:ind w:left="0" w:right="0" w:firstLine="240" w:firstLineChars="100"/>
        <w:jc w:val="both"/>
        <w:rPr>
          <w:rFonts w:hint="eastAsia" w:ascii="宋体" w:hAnsi="宋体" w:eastAsia="宋体" w:cs="宋体"/>
          <w:bCs/>
          <w:color w:val="000000"/>
          <w:kern w:val="28"/>
          <w:sz w:val="24"/>
          <w:szCs w:val="24"/>
          <w:lang w:val="en-US"/>
        </w:rPr>
      </w:pPr>
      <w:r>
        <w:rPr>
          <w:rFonts w:hint="eastAsia"/>
          <w:lang w:val="en-US" w:eastAsia="zh-CN"/>
        </w:rPr>
        <w:t xml:space="preserve">   在【第一信封投标文件解密】环节，</w:t>
      </w:r>
      <w:r>
        <w:rPr>
          <w:rFonts w:hint="eastAsia" w:ascii="宋体" w:hAnsi="宋体" w:eastAsia="宋体" w:cs="宋体"/>
          <w:bCs/>
          <w:color w:val="000000"/>
          <w:kern w:val="28"/>
          <w:sz w:val="24"/>
          <w:szCs w:val="24"/>
          <w:lang w:val="en-US" w:eastAsia="zh-CN" w:bidi="ar"/>
        </w:rPr>
        <w:t>招标代理点击【开始解密】后，投标单位在规定的时间内进行解密，各投标单位解密完成后招标代理点击【结束解密】；最后点击【文件导入】，所有投标单位完成解密。</w:t>
      </w:r>
    </w:p>
    <w:p>
      <w:pPr>
        <w:numPr>
          <w:ilvl w:val="0"/>
          <w:numId w:val="0"/>
        </w:numPr>
        <w:ind w:left="480" w:leftChars="0"/>
      </w:pPr>
      <w:r>
        <w:drawing>
          <wp:inline distT="0" distB="0" distL="114300" distR="114300">
            <wp:extent cx="6636385" cy="3255645"/>
            <wp:effectExtent l="0" t="0" r="5715" b="825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40"/>
                    <a:stretch>
                      <a:fillRect/>
                    </a:stretch>
                  </pic:blipFill>
                  <pic:spPr>
                    <a:xfrm>
                      <a:off x="0" y="0"/>
                      <a:ext cx="6636385" cy="3255645"/>
                    </a:xfrm>
                    <a:prstGeom prst="rect">
                      <a:avLst/>
                    </a:prstGeom>
                    <a:noFill/>
                    <a:ln>
                      <a:noFill/>
                    </a:ln>
                  </pic:spPr>
                </pic:pic>
              </a:graphicData>
            </a:graphic>
          </wp:inline>
        </w:drawing>
      </w:r>
    </w:p>
    <w:p>
      <w:pPr>
        <w:numPr>
          <w:ilvl w:val="0"/>
          <w:numId w:val="0"/>
        </w:numPr>
        <w:ind w:left="480" w:leftChars="0"/>
        <w:outlineLvl w:val="2"/>
        <w:rPr>
          <w:rFonts w:hint="eastAsia"/>
          <w:lang w:val="en-US" w:eastAsia="zh-CN"/>
        </w:rPr>
      </w:pPr>
      <w:bookmarkStart w:id="48" w:name="_Toc26888"/>
      <w:r>
        <w:rPr>
          <w:rFonts w:hint="eastAsia"/>
          <w:lang w:val="en-US" w:eastAsia="zh-CN"/>
        </w:rPr>
        <w:t>2.5.4、发起异议</w:t>
      </w:r>
      <w:bookmarkEnd w:id="48"/>
    </w:p>
    <w:p>
      <w:pPr>
        <w:keepNext w:val="0"/>
        <w:keepLines w:val="0"/>
        <w:widowControl w:val="0"/>
        <w:suppressLineNumbers w:val="0"/>
        <w:spacing w:before="0" w:beforeAutospacing="0" w:after="0" w:afterAutospacing="0"/>
        <w:ind w:left="0" w:right="0" w:firstLine="240" w:firstLineChars="100"/>
        <w:jc w:val="both"/>
        <w:rPr>
          <w:rFonts w:hint="default" w:ascii="宋体" w:hAnsi="宋体" w:eastAsia="宋体" w:cs="宋体"/>
          <w:bCs/>
          <w:color w:val="000000"/>
          <w:kern w:val="28"/>
          <w:sz w:val="24"/>
          <w:szCs w:val="24"/>
          <w:lang w:val="en-US"/>
        </w:rPr>
      </w:pPr>
      <w:r>
        <w:rPr>
          <w:rFonts w:hint="eastAsia" w:ascii="宋体" w:hAnsi="宋体" w:eastAsia="宋体" w:cs="宋体"/>
          <w:bCs/>
          <w:color w:val="000000"/>
          <w:kern w:val="28"/>
          <w:sz w:val="24"/>
          <w:szCs w:val="24"/>
          <w:lang w:val="en-US" w:eastAsia="zh-CN" w:bidi="ar"/>
        </w:rPr>
        <w:t xml:space="preserve">    招标代理【发起异议】，设置异议时间，各投标单位在规定的时间内进行答复。</w:t>
      </w:r>
      <w:r>
        <w:rPr>
          <w:rFonts w:hint="eastAsia" w:ascii="宋体" w:hAnsi="宋体" w:cs="宋体"/>
          <w:bCs/>
          <w:color w:val="000000"/>
          <w:kern w:val="28"/>
          <w:sz w:val="24"/>
          <w:szCs w:val="24"/>
          <w:lang w:val="en-US" w:eastAsia="zh-CN" w:bidi="ar"/>
        </w:rPr>
        <w:t>最后一定要点击【结束异议】。</w:t>
      </w:r>
    </w:p>
    <w:p>
      <w:pPr>
        <w:keepNext w:val="0"/>
        <w:keepLines w:val="0"/>
        <w:widowControl w:val="0"/>
        <w:suppressLineNumbers w:val="0"/>
        <w:spacing w:before="0" w:beforeAutospacing="0" w:after="0" w:afterAutospacing="0"/>
        <w:ind w:left="0" w:right="0" w:firstLine="720" w:firstLineChars="300"/>
        <w:jc w:val="both"/>
        <w:rPr>
          <w:rFonts w:hint="eastAsia" w:ascii="宋体" w:hAnsi="宋体" w:eastAsia="宋体" w:cs="宋体"/>
          <w:bCs/>
          <w:color w:val="C00000"/>
          <w:kern w:val="28"/>
          <w:sz w:val="24"/>
          <w:szCs w:val="24"/>
          <w:lang w:val="en-US" w:eastAsia="zh-CN" w:bidi="ar"/>
        </w:rPr>
      </w:pPr>
      <w:r>
        <w:rPr>
          <w:rFonts w:hint="eastAsia" w:ascii="宋体" w:hAnsi="宋体" w:eastAsia="宋体" w:cs="宋体"/>
          <w:bCs/>
          <w:color w:val="C00000"/>
          <w:kern w:val="28"/>
          <w:sz w:val="24"/>
          <w:szCs w:val="24"/>
          <w:lang w:val="en-US" w:eastAsia="zh-CN" w:bidi="ar"/>
        </w:rPr>
        <w:t>备注：投标人提出的异议招标代理必须回复。</w:t>
      </w:r>
    </w:p>
    <w:p>
      <w:pPr>
        <w:keepNext w:val="0"/>
        <w:keepLines w:val="0"/>
        <w:widowControl w:val="0"/>
        <w:suppressLineNumbers w:val="0"/>
        <w:spacing w:before="0" w:beforeAutospacing="0" w:after="0" w:afterAutospacing="0"/>
        <w:ind w:left="0" w:right="0"/>
        <w:jc w:val="both"/>
        <w:rPr>
          <w:rFonts w:hint="eastAsia" w:ascii="宋体" w:hAnsi="宋体" w:eastAsia="宋体" w:cs="宋体"/>
          <w:bCs/>
          <w:color w:val="C00000"/>
          <w:kern w:val="28"/>
          <w:sz w:val="24"/>
          <w:szCs w:val="24"/>
          <w:lang w:val="en-US" w:eastAsia="zh-CN" w:bidi="ar"/>
        </w:rPr>
      </w:pPr>
      <w:r>
        <w:rPr>
          <w:rFonts w:hint="eastAsia" w:ascii="宋体" w:hAnsi="宋体" w:cs="宋体"/>
          <w:kern w:val="2"/>
          <w:sz w:val="24"/>
          <w:szCs w:val="24"/>
          <w:lang w:val="en-US" w:eastAsia="zh-CN" w:bidi="ar"/>
        </w:rPr>
        <w:t xml:space="preserve">    </w:t>
      </w:r>
      <w:r>
        <w:rPr>
          <w:rFonts w:hint="eastAsia" w:ascii="宋体" w:hAnsi="宋体" w:eastAsia="宋体" w:cs="宋体"/>
          <w:kern w:val="2"/>
          <w:sz w:val="24"/>
          <w:szCs w:val="24"/>
          <w:lang w:val="en-US" w:eastAsia="zh-CN" w:bidi="ar"/>
        </w:rPr>
        <w:drawing>
          <wp:inline distT="0" distB="0" distL="114300" distR="114300">
            <wp:extent cx="6101715" cy="1822450"/>
            <wp:effectExtent l="0" t="0" r="6985" b="6350"/>
            <wp:docPr id="34"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5"/>
                    <pic:cNvPicPr>
                      <a:picLocks noChangeAspect="1"/>
                    </pic:cNvPicPr>
                  </pic:nvPicPr>
                  <pic:blipFill>
                    <a:blip r:embed="rId41"/>
                    <a:stretch>
                      <a:fillRect/>
                    </a:stretch>
                  </pic:blipFill>
                  <pic:spPr>
                    <a:xfrm>
                      <a:off x="0" y="0"/>
                      <a:ext cx="6101715" cy="182245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outlineLvl w:val="9"/>
        <w:rPr>
          <w:rFonts w:hint="eastAsia" w:ascii="宋体" w:hAnsi="宋体" w:eastAsia="宋体" w:cs="宋体"/>
          <w:bCs/>
          <w:color w:val="C00000"/>
          <w:kern w:val="28"/>
          <w:sz w:val="24"/>
          <w:szCs w:val="24"/>
          <w:lang w:val="en-US" w:eastAsia="zh-CN" w:bidi="ar"/>
        </w:rPr>
      </w:pPr>
    </w:p>
    <w:p>
      <w:pPr>
        <w:numPr>
          <w:ilvl w:val="0"/>
          <w:numId w:val="0"/>
        </w:numPr>
        <w:ind w:left="480" w:leftChars="0"/>
        <w:outlineLvl w:val="2"/>
        <w:rPr>
          <w:rFonts w:hint="eastAsia"/>
          <w:lang w:val="en-US" w:eastAsia="zh-CN"/>
        </w:rPr>
      </w:pPr>
      <w:bookmarkStart w:id="49" w:name="_Toc9786"/>
      <w:r>
        <w:rPr>
          <w:rFonts w:hint="eastAsia"/>
          <w:lang w:val="en-US" w:eastAsia="zh-CN"/>
        </w:rPr>
        <w:t>2.5.5、第一信封唱标</w:t>
      </w:r>
      <w:bookmarkEnd w:id="49"/>
    </w:p>
    <w:p>
      <w:pPr>
        <w:numPr>
          <w:ilvl w:val="0"/>
          <w:numId w:val="0"/>
        </w:numPr>
        <w:ind w:left="480" w:leftChars="0"/>
        <w:rPr>
          <w:rFonts w:hint="default"/>
          <w:lang w:val="en-US" w:eastAsia="zh-CN"/>
        </w:rPr>
      </w:pPr>
      <w:r>
        <w:rPr>
          <w:rFonts w:hint="eastAsia"/>
          <w:lang w:val="en-US" w:eastAsia="zh-CN"/>
        </w:rPr>
        <w:t xml:space="preserve">  在【第一信封唱标】界面，点击“一键唱标”针对于各投标单位的情况进行公示，</w:t>
      </w:r>
    </w:p>
    <w:p>
      <w:pPr>
        <w:numPr>
          <w:ilvl w:val="0"/>
          <w:numId w:val="0"/>
        </w:numPr>
        <w:ind w:left="480" w:leftChars="0"/>
        <w:outlineLvl w:val="2"/>
        <w:rPr>
          <w:rFonts w:hint="eastAsia"/>
          <w:lang w:val="en-US" w:eastAsia="zh-CN"/>
        </w:rPr>
      </w:pPr>
      <w:bookmarkStart w:id="50" w:name="_Toc6437"/>
      <w:r>
        <w:drawing>
          <wp:inline distT="0" distB="0" distL="114300" distR="114300">
            <wp:extent cx="6638290" cy="3315335"/>
            <wp:effectExtent l="0" t="0" r="3810" b="1206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42"/>
                    <a:stretch>
                      <a:fillRect/>
                    </a:stretch>
                  </pic:blipFill>
                  <pic:spPr>
                    <a:xfrm>
                      <a:off x="0" y="0"/>
                      <a:ext cx="6638290" cy="3315335"/>
                    </a:xfrm>
                    <a:prstGeom prst="rect">
                      <a:avLst/>
                    </a:prstGeom>
                    <a:noFill/>
                    <a:ln>
                      <a:noFill/>
                    </a:ln>
                  </pic:spPr>
                </pic:pic>
              </a:graphicData>
            </a:graphic>
          </wp:inline>
        </w:drawing>
      </w:r>
      <w:r>
        <w:rPr>
          <w:rFonts w:hint="eastAsia"/>
          <w:lang w:val="en-US" w:eastAsia="zh-CN"/>
        </w:rPr>
        <w:t>2.5.6、第一信封开标结束</w:t>
      </w:r>
      <w:bookmarkEnd w:id="50"/>
    </w:p>
    <w:p>
      <w:pPr>
        <w:numPr>
          <w:ilvl w:val="0"/>
          <w:numId w:val="0"/>
        </w:numPr>
        <w:ind w:left="480" w:leftChars="0" w:firstLine="480" w:firstLineChars="200"/>
        <w:rPr>
          <w:rFonts w:hint="eastAsia" w:ascii="宋体" w:hAnsi="宋体" w:cs="宋体"/>
          <w:bCs/>
          <w:color w:val="000000"/>
          <w:kern w:val="28"/>
          <w:sz w:val="24"/>
          <w:szCs w:val="24"/>
          <w:lang w:val="en-US" w:eastAsia="zh-CN" w:bidi="ar"/>
        </w:rPr>
      </w:pPr>
      <w:r>
        <w:rPr>
          <w:rFonts w:hint="eastAsia" w:ascii="宋体" w:hAnsi="宋体" w:eastAsia="宋体" w:cs="宋体"/>
          <w:bCs/>
          <w:color w:val="000000"/>
          <w:kern w:val="28"/>
          <w:sz w:val="24"/>
          <w:szCs w:val="24"/>
          <w:lang w:val="en-US" w:eastAsia="zh-CN" w:bidi="ar"/>
        </w:rPr>
        <w:t>开标环节每项已经确定完成，招标代理点击【</w:t>
      </w:r>
      <w:r>
        <w:rPr>
          <w:rFonts w:hint="eastAsia" w:ascii="宋体" w:hAnsi="宋体" w:cs="宋体"/>
          <w:bCs/>
          <w:color w:val="000000"/>
          <w:kern w:val="28"/>
          <w:sz w:val="24"/>
          <w:szCs w:val="24"/>
          <w:lang w:val="en-US" w:eastAsia="zh-CN" w:bidi="ar"/>
        </w:rPr>
        <w:t>第一信封开标</w:t>
      </w:r>
      <w:r>
        <w:rPr>
          <w:rFonts w:hint="eastAsia" w:ascii="宋体" w:hAnsi="宋体" w:eastAsia="宋体" w:cs="宋体"/>
          <w:bCs/>
          <w:color w:val="000000"/>
          <w:kern w:val="28"/>
          <w:sz w:val="24"/>
          <w:szCs w:val="24"/>
          <w:lang w:val="en-US" w:eastAsia="zh-CN" w:bidi="ar"/>
        </w:rPr>
        <w:t>结束】</w:t>
      </w:r>
      <w:r>
        <w:rPr>
          <w:rFonts w:hint="eastAsia" w:ascii="宋体" w:hAnsi="宋体" w:cs="宋体"/>
          <w:bCs/>
          <w:color w:val="000000"/>
          <w:kern w:val="28"/>
          <w:sz w:val="24"/>
          <w:szCs w:val="24"/>
          <w:lang w:val="en-US" w:eastAsia="zh-CN" w:bidi="ar"/>
        </w:rPr>
        <w:t>。</w:t>
      </w:r>
    </w:p>
    <w:p>
      <w:pPr>
        <w:numPr>
          <w:ilvl w:val="0"/>
          <w:numId w:val="0"/>
        </w:numPr>
        <w:ind w:left="480" w:leftChars="0" w:firstLine="480" w:firstLineChars="200"/>
        <w:rPr>
          <w:rFonts w:hint="default" w:ascii="宋体" w:hAnsi="宋体" w:cs="宋体"/>
          <w:bCs/>
          <w:color w:val="000000"/>
          <w:kern w:val="28"/>
          <w:sz w:val="24"/>
          <w:szCs w:val="24"/>
          <w:lang w:val="en-US" w:eastAsia="zh-CN" w:bidi="ar"/>
        </w:rPr>
      </w:pPr>
      <w:r>
        <w:rPr>
          <w:rFonts w:hint="eastAsia"/>
          <w:color w:val="C00000"/>
          <w:lang w:val="en-US" w:eastAsia="zh-CN"/>
        </w:rPr>
        <w:t>备注：第二信封开标结束前，必须【发起异议】。</w:t>
      </w:r>
    </w:p>
    <w:p>
      <w:pPr>
        <w:numPr>
          <w:ilvl w:val="0"/>
          <w:numId w:val="0"/>
        </w:numPr>
        <w:ind w:left="480" w:leftChars="0" w:firstLine="480" w:firstLineChars="200"/>
        <w:rPr>
          <w:rFonts w:hint="eastAsia" w:ascii="宋体" w:hAnsi="宋体" w:eastAsia="宋体" w:cs="宋体"/>
          <w:bCs/>
          <w:color w:val="000000"/>
          <w:kern w:val="28"/>
          <w:sz w:val="24"/>
          <w:szCs w:val="24"/>
          <w:lang w:val="en-US" w:eastAsia="zh-CN" w:bidi="ar"/>
        </w:rPr>
      </w:pPr>
      <w:r>
        <w:drawing>
          <wp:inline distT="0" distB="0" distL="114300" distR="114300">
            <wp:extent cx="6455410" cy="3284855"/>
            <wp:effectExtent l="0" t="0" r="8890" b="444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43"/>
                    <a:stretch>
                      <a:fillRect/>
                    </a:stretch>
                  </pic:blipFill>
                  <pic:spPr>
                    <a:xfrm>
                      <a:off x="0" y="0"/>
                      <a:ext cx="6455410" cy="3284855"/>
                    </a:xfrm>
                    <a:prstGeom prst="rect">
                      <a:avLst/>
                    </a:prstGeom>
                    <a:noFill/>
                    <a:ln>
                      <a:noFill/>
                    </a:ln>
                  </pic:spPr>
                </pic:pic>
              </a:graphicData>
            </a:graphic>
          </wp:inline>
        </w:drawing>
      </w:r>
    </w:p>
    <w:p>
      <w:pPr>
        <w:numPr>
          <w:ilvl w:val="0"/>
          <w:numId w:val="0"/>
        </w:numPr>
      </w:pPr>
    </w:p>
    <w:p>
      <w:pPr>
        <w:numPr>
          <w:ilvl w:val="0"/>
          <w:numId w:val="0"/>
        </w:numPr>
        <w:ind w:left="480" w:leftChars="0"/>
        <w:outlineLvl w:val="2"/>
        <w:rPr>
          <w:rFonts w:hint="eastAsia"/>
          <w:lang w:val="en-US" w:eastAsia="zh-CN"/>
        </w:rPr>
      </w:pPr>
      <w:bookmarkStart w:id="51" w:name="_Toc26643"/>
      <w:r>
        <w:rPr>
          <w:rFonts w:hint="eastAsia"/>
          <w:lang w:val="en-US" w:eastAsia="zh-CN"/>
        </w:rPr>
        <w:t>2.5.7公布第一信封评标结束</w:t>
      </w:r>
      <w:bookmarkEnd w:id="51"/>
    </w:p>
    <w:p>
      <w:pPr>
        <w:numPr>
          <w:ilvl w:val="0"/>
          <w:numId w:val="0"/>
        </w:numPr>
        <w:ind w:left="480" w:leftChars="0"/>
        <w:rPr>
          <w:rFonts w:hint="eastAsia"/>
          <w:lang w:val="en-US" w:eastAsia="zh-CN"/>
        </w:rPr>
      </w:pPr>
      <w:r>
        <w:rPr>
          <w:rFonts w:hint="eastAsia"/>
          <w:lang w:val="en-US" w:eastAsia="zh-CN"/>
        </w:rPr>
        <w:t xml:space="preserve">       对第一信封评标结果进行公示；各投标人进行查看。</w:t>
      </w:r>
    </w:p>
    <w:p>
      <w:pPr>
        <w:numPr>
          <w:ilvl w:val="0"/>
          <w:numId w:val="0"/>
        </w:numPr>
        <w:ind w:left="480" w:leftChars="0"/>
      </w:pPr>
      <w:r>
        <w:drawing>
          <wp:inline distT="0" distB="0" distL="114300" distR="114300">
            <wp:extent cx="6296025" cy="2093595"/>
            <wp:effectExtent l="0" t="0" r="3175" b="190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44"/>
                    <a:stretch>
                      <a:fillRect/>
                    </a:stretch>
                  </pic:blipFill>
                  <pic:spPr>
                    <a:xfrm>
                      <a:off x="0" y="0"/>
                      <a:ext cx="6296025" cy="2093595"/>
                    </a:xfrm>
                    <a:prstGeom prst="rect">
                      <a:avLst/>
                    </a:prstGeom>
                    <a:noFill/>
                    <a:ln>
                      <a:noFill/>
                    </a:ln>
                  </pic:spPr>
                </pic:pic>
              </a:graphicData>
            </a:graphic>
          </wp:inline>
        </w:drawing>
      </w:r>
    </w:p>
    <w:p>
      <w:pPr>
        <w:numPr>
          <w:ilvl w:val="0"/>
          <w:numId w:val="0"/>
        </w:numPr>
        <w:ind w:left="480" w:leftChars="0"/>
      </w:pPr>
      <w:r>
        <w:drawing>
          <wp:inline distT="0" distB="0" distL="114300" distR="114300">
            <wp:extent cx="6499225" cy="2012315"/>
            <wp:effectExtent l="0" t="0" r="3175" b="6985"/>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45"/>
                    <a:stretch>
                      <a:fillRect/>
                    </a:stretch>
                  </pic:blipFill>
                  <pic:spPr>
                    <a:xfrm>
                      <a:off x="0" y="0"/>
                      <a:ext cx="6499225" cy="2012315"/>
                    </a:xfrm>
                    <a:prstGeom prst="rect">
                      <a:avLst/>
                    </a:prstGeom>
                    <a:noFill/>
                    <a:ln>
                      <a:noFill/>
                    </a:ln>
                  </pic:spPr>
                </pic:pic>
              </a:graphicData>
            </a:graphic>
          </wp:inline>
        </w:drawing>
      </w:r>
    </w:p>
    <w:p>
      <w:pPr>
        <w:numPr>
          <w:ilvl w:val="0"/>
          <w:numId w:val="0"/>
        </w:numPr>
        <w:ind w:left="480" w:leftChars="0"/>
        <w:outlineLvl w:val="2"/>
        <w:rPr>
          <w:rFonts w:hint="eastAsia"/>
          <w:lang w:val="en-US" w:eastAsia="zh-CN"/>
        </w:rPr>
      </w:pPr>
      <w:bookmarkStart w:id="52" w:name="_Toc20136"/>
      <w:r>
        <w:rPr>
          <w:rFonts w:hint="eastAsia"/>
          <w:lang w:val="en-US" w:eastAsia="zh-CN"/>
        </w:rPr>
        <w:t>2.5.8系数抽取</w:t>
      </w:r>
      <w:bookmarkEnd w:id="52"/>
    </w:p>
    <w:p>
      <w:pPr>
        <w:numPr>
          <w:ilvl w:val="0"/>
          <w:numId w:val="0"/>
        </w:numPr>
        <w:ind w:left="480" w:leftChars="0"/>
        <w:rPr>
          <w:rFonts w:hint="default"/>
          <w:lang w:val="en-US" w:eastAsia="zh-CN"/>
        </w:rPr>
      </w:pPr>
      <w:r>
        <w:rPr>
          <w:rFonts w:hint="eastAsia"/>
          <w:lang w:val="en-US" w:eastAsia="zh-CN"/>
        </w:rPr>
        <w:t xml:space="preserve">   在【系数抽取】界面，直接会获取到基准价系数，核实无误后点击“确定”。</w:t>
      </w:r>
    </w:p>
    <w:p>
      <w:pPr>
        <w:numPr>
          <w:ilvl w:val="0"/>
          <w:numId w:val="0"/>
        </w:numPr>
        <w:ind w:left="480" w:leftChars="0"/>
        <w:rPr>
          <w:rFonts w:hint="eastAsia"/>
          <w:lang w:val="en-US" w:eastAsia="zh-CN"/>
        </w:rPr>
      </w:pPr>
      <w:r>
        <w:drawing>
          <wp:inline distT="0" distB="0" distL="114300" distR="114300">
            <wp:extent cx="6638290" cy="2961640"/>
            <wp:effectExtent l="0" t="0" r="3810" b="10160"/>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6"/>
                    <a:stretch>
                      <a:fillRect/>
                    </a:stretch>
                  </pic:blipFill>
                  <pic:spPr>
                    <a:xfrm>
                      <a:off x="0" y="0"/>
                      <a:ext cx="6638290" cy="2961640"/>
                    </a:xfrm>
                    <a:prstGeom prst="rect">
                      <a:avLst/>
                    </a:prstGeom>
                    <a:noFill/>
                    <a:ln>
                      <a:noFill/>
                    </a:ln>
                  </pic:spPr>
                </pic:pic>
              </a:graphicData>
            </a:graphic>
          </wp:inline>
        </w:drawing>
      </w:r>
    </w:p>
    <w:p>
      <w:pPr>
        <w:numPr>
          <w:ilvl w:val="0"/>
          <w:numId w:val="0"/>
        </w:numPr>
        <w:ind w:left="480" w:leftChars="0"/>
        <w:rPr>
          <w:rFonts w:hint="eastAsia"/>
          <w:lang w:val="en-US" w:eastAsia="zh-CN"/>
        </w:rPr>
      </w:pPr>
      <w:r>
        <w:rPr>
          <w:rFonts w:hint="eastAsia"/>
          <w:lang w:val="en-US" w:eastAsia="zh-CN"/>
        </w:rPr>
        <w:t xml:space="preserve">   </w:t>
      </w:r>
    </w:p>
    <w:p>
      <w:pPr>
        <w:numPr>
          <w:ilvl w:val="0"/>
          <w:numId w:val="0"/>
        </w:numPr>
        <w:ind w:left="480" w:leftChars="0"/>
        <w:outlineLvl w:val="2"/>
        <w:rPr>
          <w:rFonts w:hint="eastAsia"/>
          <w:lang w:val="en-US" w:eastAsia="zh-CN"/>
        </w:rPr>
      </w:pPr>
      <w:bookmarkStart w:id="53" w:name="_Toc377"/>
      <w:r>
        <w:rPr>
          <w:rFonts w:hint="eastAsia"/>
          <w:lang w:val="en-US" w:eastAsia="zh-CN"/>
        </w:rPr>
        <w:t>2.5.9第二信封唱标</w:t>
      </w:r>
      <w:bookmarkEnd w:id="53"/>
    </w:p>
    <w:p>
      <w:pPr>
        <w:numPr>
          <w:ilvl w:val="0"/>
          <w:numId w:val="0"/>
        </w:numPr>
        <w:ind w:left="480" w:leftChars="0" w:firstLine="480"/>
        <w:rPr>
          <w:rFonts w:hint="eastAsia"/>
          <w:lang w:val="en-US" w:eastAsia="zh-CN"/>
        </w:rPr>
      </w:pPr>
      <w:r>
        <w:rPr>
          <w:rFonts w:hint="eastAsia"/>
          <w:lang w:val="en-US" w:eastAsia="zh-CN"/>
        </w:rPr>
        <w:t>在【第二信封唱标】界面，点击“一键唱标”针对于各投标单位的情况进行公示。</w:t>
      </w:r>
    </w:p>
    <w:p>
      <w:pPr>
        <w:numPr>
          <w:ilvl w:val="0"/>
          <w:numId w:val="0"/>
        </w:numPr>
        <w:ind w:left="480" w:leftChars="0" w:firstLine="480"/>
        <w:rPr>
          <w:rFonts w:hint="eastAsia"/>
          <w:lang w:val="en-US" w:eastAsia="zh-CN"/>
        </w:rPr>
      </w:pPr>
      <w:r>
        <w:drawing>
          <wp:inline distT="0" distB="0" distL="114300" distR="114300">
            <wp:extent cx="6642735" cy="3096895"/>
            <wp:effectExtent l="0" t="0" r="12065" b="190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47"/>
                    <a:stretch>
                      <a:fillRect/>
                    </a:stretch>
                  </pic:blipFill>
                  <pic:spPr>
                    <a:xfrm>
                      <a:off x="0" y="0"/>
                      <a:ext cx="6642735" cy="3096895"/>
                    </a:xfrm>
                    <a:prstGeom prst="rect">
                      <a:avLst/>
                    </a:prstGeom>
                    <a:noFill/>
                    <a:ln>
                      <a:noFill/>
                    </a:ln>
                  </pic:spPr>
                </pic:pic>
              </a:graphicData>
            </a:graphic>
          </wp:inline>
        </w:drawing>
      </w:r>
    </w:p>
    <w:p>
      <w:pPr>
        <w:numPr>
          <w:ilvl w:val="0"/>
          <w:numId w:val="0"/>
        </w:numPr>
        <w:ind w:left="480" w:leftChars="0"/>
        <w:outlineLvl w:val="2"/>
        <w:rPr>
          <w:rFonts w:hint="eastAsia"/>
          <w:lang w:val="en-US" w:eastAsia="zh-CN"/>
        </w:rPr>
      </w:pPr>
      <w:bookmarkStart w:id="54" w:name="_Toc21321"/>
      <w:r>
        <w:rPr>
          <w:rFonts w:hint="eastAsia"/>
          <w:lang w:val="en-US" w:eastAsia="zh-CN"/>
        </w:rPr>
        <w:t>2.5.10计算并宣布评标基准价</w:t>
      </w:r>
      <w:bookmarkEnd w:id="54"/>
    </w:p>
    <w:p>
      <w:pPr>
        <w:numPr>
          <w:ilvl w:val="0"/>
          <w:numId w:val="0"/>
        </w:numPr>
        <w:ind w:left="480" w:leftChars="0"/>
        <w:rPr>
          <w:rFonts w:hint="default"/>
          <w:lang w:val="en-US" w:eastAsia="zh-CN"/>
        </w:rPr>
      </w:pPr>
      <w:r>
        <w:rPr>
          <w:rFonts w:hint="eastAsia"/>
          <w:lang w:val="en-US" w:eastAsia="zh-CN"/>
        </w:rPr>
        <w:t xml:space="preserve">     在【计算并宣布评标基准价】界面，点击“计算评标基准价”，系统会自动计算基准价，核实无误，点击确定。</w:t>
      </w:r>
    </w:p>
    <w:p>
      <w:pPr>
        <w:numPr>
          <w:ilvl w:val="0"/>
          <w:numId w:val="0"/>
        </w:numPr>
        <w:ind w:left="480" w:leftChars="0"/>
      </w:pPr>
      <w:r>
        <w:drawing>
          <wp:inline distT="0" distB="0" distL="114300" distR="114300">
            <wp:extent cx="6636385" cy="3054985"/>
            <wp:effectExtent l="0" t="0" r="5715" b="571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48"/>
                    <a:stretch>
                      <a:fillRect/>
                    </a:stretch>
                  </pic:blipFill>
                  <pic:spPr>
                    <a:xfrm>
                      <a:off x="0" y="0"/>
                      <a:ext cx="6636385" cy="3054985"/>
                    </a:xfrm>
                    <a:prstGeom prst="rect">
                      <a:avLst/>
                    </a:prstGeom>
                    <a:noFill/>
                    <a:ln>
                      <a:noFill/>
                    </a:ln>
                  </pic:spPr>
                </pic:pic>
              </a:graphicData>
            </a:graphic>
          </wp:inline>
        </w:drawing>
      </w:r>
    </w:p>
    <w:p>
      <w:pPr>
        <w:numPr>
          <w:ilvl w:val="0"/>
          <w:numId w:val="0"/>
        </w:numPr>
        <w:ind w:left="480" w:leftChars="0"/>
        <w:outlineLvl w:val="2"/>
        <w:rPr>
          <w:rFonts w:hint="eastAsia"/>
          <w:lang w:val="en-US" w:eastAsia="zh-CN"/>
        </w:rPr>
      </w:pPr>
      <w:bookmarkStart w:id="55" w:name="_Toc1342"/>
      <w:r>
        <w:rPr>
          <w:rFonts w:hint="eastAsia"/>
          <w:lang w:val="en-US" w:eastAsia="zh-CN"/>
        </w:rPr>
        <w:t>2.5.11、发起异议</w:t>
      </w:r>
      <w:bookmarkEnd w:id="55"/>
    </w:p>
    <w:p>
      <w:pPr>
        <w:keepNext w:val="0"/>
        <w:keepLines w:val="0"/>
        <w:widowControl w:val="0"/>
        <w:suppressLineNumbers w:val="0"/>
        <w:spacing w:before="0" w:beforeAutospacing="0" w:after="0" w:afterAutospacing="0"/>
        <w:ind w:left="0" w:right="0" w:firstLine="240" w:firstLineChars="100"/>
        <w:jc w:val="both"/>
        <w:rPr>
          <w:rFonts w:hint="default" w:ascii="宋体" w:hAnsi="宋体" w:eastAsia="宋体" w:cs="宋体"/>
          <w:bCs/>
          <w:color w:val="000000"/>
          <w:kern w:val="28"/>
          <w:sz w:val="24"/>
          <w:szCs w:val="24"/>
          <w:lang w:val="en-US"/>
        </w:rPr>
      </w:pPr>
      <w:r>
        <w:rPr>
          <w:rFonts w:hint="eastAsia" w:ascii="宋体" w:hAnsi="宋体" w:eastAsia="宋体" w:cs="宋体"/>
          <w:bCs/>
          <w:color w:val="000000"/>
          <w:kern w:val="28"/>
          <w:sz w:val="24"/>
          <w:szCs w:val="24"/>
          <w:lang w:val="en-US" w:eastAsia="zh-CN" w:bidi="ar"/>
        </w:rPr>
        <w:t xml:space="preserve">    招标代理【发起异议】，设置异议时间，各投标单位在规定的时间内进行答复。</w:t>
      </w:r>
      <w:r>
        <w:rPr>
          <w:rFonts w:hint="eastAsia" w:ascii="宋体" w:hAnsi="宋体" w:cs="宋体"/>
          <w:bCs/>
          <w:color w:val="000000"/>
          <w:kern w:val="28"/>
          <w:sz w:val="24"/>
          <w:szCs w:val="24"/>
          <w:lang w:val="en-US" w:eastAsia="zh-CN" w:bidi="ar"/>
        </w:rPr>
        <w:t>最后一定要点击【结束异议】。</w:t>
      </w:r>
    </w:p>
    <w:p>
      <w:pPr>
        <w:keepNext w:val="0"/>
        <w:keepLines w:val="0"/>
        <w:widowControl w:val="0"/>
        <w:suppressLineNumbers w:val="0"/>
        <w:spacing w:before="0" w:beforeAutospacing="0" w:after="0" w:afterAutospacing="0"/>
        <w:ind w:left="0" w:right="0" w:firstLine="720" w:firstLineChars="300"/>
        <w:jc w:val="both"/>
        <w:rPr>
          <w:rFonts w:hint="eastAsia" w:ascii="宋体" w:hAnsi="宋体" w:eastAsia="宋体" w:cs="宋体"/>
          <w:bCs/>
          <w:color w:val="C00000"/>
          <w:kern w:val="28"/>
          <w:sz w:val="24"/>
          <w:szCs w:val="24"/>
          <w:lang w:val="en-US" w:eastAsia="zh-CN" w:bidi="ar"/>
        </w:rPr>
      </w:pPr>
      <w:r>
        <w:rPr>
          <w:rFonts w:hint="eastAsia" w:ascii="宋体" w:hAnsi="宋体" w:eastAsia="宋体" w:cs="宋体"/>
          <w:bCs/>
          <w:color w:val="C00000"/>
          <w:kern w:val="28"/>
          <w:sz w:val="24"/>
          <w:szCs w:val="24"/>
          <w:lang w:val="en-US" w:eastAsia="zh-CN" w:bidi="ar"/>
        </w:rPr>
        <w:t>备注：投标人提出的异议招标代理必须回复。</w:t>
      </w:r>
    </w:p>
    <w:p>
      <w:pPr>
        <w:keepNext w:val="0"/>
        <w:keepLines w:val="0"/>
        <w:widowControl w:val="0"/>
        <w:suppressLineNumbers w:val="0"/>
        <w:spacing w:before="0" w:beforeAutospacing="0" w:after="0" w:afterAutospacing="0"/>
        <w:ind w:left="0" w:right="0" w:firstLine="720" w:firstLineChars="300"/>
        <w:jc w:val="both"/>
        <w:rPr>
          <w:rFonts w:hint="eastAsia" w:ascii="宋体" w:hAnsi="宋体" w:eastAsia="宋体" w:cs="宋体"/>
          <w:bCs/>
          <w:color w:val="C00000"/>
          <w:kern w:val="28"/>
          <w:sz w:val="24"/>
          <w:szCs w:val="24"/>
          <w:lang w:val="en-US" w:eastAsia="zh-CN" w:bidi="ar"/>
        </w:rPr>
      </w:pPr>
      <w:r>
        <w:drawing>
          <wp:inline distT="0" distB="0" distL="114300" distR="114300">
            <wp:extent cx="6644005" cy="2961005"/>
            <wp:effectExtent l="0" t="0" r="10795" b="10795"/>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49"/>
                    <a:stretch>
                      <a:fillRect/>
                    </a:stretch>
                  </pic:blipFill>
                  <pic:spPr>
                    <a:xfrm>
                      <a:off x="0" y="0"/>
                      <a:ext cx="6644005" cy="296100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firstLine="720" w:firstLineChars="300"/>
        <w:jc w:val="both"/>
        <w:rPr>
          <w:rFonts w:hint="eastAsia" w:ascii="宋体" w:hAnsi="宋体" w:eastAsia="宋体" w:cs="宋体"/>
          <w:bCs/>
          <w:color w:val="C00000"/>
          <w:kern w:val="28"/>
          <w:sz w:val="24"/>
          <w:szCs w:val="24"/>
          <w:lang w:val="en-US" w:eastAsia="zh-CN" w:bidi="ar"/>
        </w:rPr>
      </w:pPr>
    </w:p>
    <w:p>
      <w:pPr>
        <w:numPr>
          <w:ilvl w:val="0"/>
          <w:numId w:val="0"/>
        </w:numPr>
        <w:ind w:left="480" w:leftChars="0"/>
        <w:outlineLvl w:val="2"/>
        <w:rPr>
          <w:rFonts w:hint="eastAsia"/>
          <w:lang w:val="en-US" w:eastAsia="zh-CN"/>
        </w:rPr>
      </w:pPr>
      <w:bookmarkStart w:id="56" w:name="_Toc1698"/>
      <w:r>
        <w:rPr>
          <w:rFonts w:hint="eastAsia"/>
          <w:lang w:val="en-US" w:eastAsia="zh-CN"/>
        </w:rPr>
        <w:t>2.5.12第二信封开标结束</w:t>
      </w:r>
      <w:bookmarkEnd w:id="56"/>
    </w:p>
    <w:p>
      <w:pPr>
        <w:numPr>
          <w:ilvl w:val="0"/>
          <w:numId w:val="0"/>
        </w:numPr>
        <w:ind w:left="480" w:leftChars="0" w:firstLine="480"/>
        <w:rPr>
          <w:rFonts w:hint="eastAsia"/>
          <w:lang w:val="en-US" w:eastAsia="zh-CN"/>
        </w:rPr>
      </w:pPr>
      <w:r>
        <w:rPr>
          <w:rFonts w:hint="eastAsia"/>
          <w:lang w:val="en-US" w:eastAsia="zh-CN"/>
        </w:rPr>
        <w:t>在【第二信封开标结束】界面，点击“开标结束”。</w:t>
      </w:r>
    </w:p>
    <w:p>
      <w:pPr>
        <w:numPr>
          <w:ilvl w:val="0"/>
          <w:numId w:val="0"/>
        </w:numPr>
        <w:ind w:left="480" w:leftChars="0" w:firstLine="480"/>
        <w:rPr>
          <w:rFonts w:hint="default"/>
          <w:color w:val="C00000"/>
          <w:lang w:val="en-US" w:eastAsia="zh-CN"/>
        </w:rPr>
      </w:pPr>
      <w:r>
        <w:rPr>
          <w:rFonts w:hint="eastAsia"/>
          <w:color w:val="C00000"/>
          <w:lang w:val="en-US" w:eastAsia="zh-CN"/>
        </w:rPr>
        <w:t>备注：第二信封开标结束前，必须【发起异议】</w:t>
      </w:r>
    </w:p>
    <w:p>
      <w:pPr>
        <w:numPr>
          <w:ilvl w:val="0"/>
          <w:numId w:val="0"/>
        </w:numPr>
        <w:ind w:left="480" w:leftChars="0"/>
      </w:pPr>
      <w:r>
        <w:drawing>
          <wp:inline distT="0" distB="0" distL="114300" distR="114300">
            <wp:extent cx="6641465" cy="1630680"/>
            <wp:effectExtent l="0" t="0" r="635" b="7620"/>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50"/>
                    <a:stretch>
                      <a:fillRect/>
                    </a:stretch>
                  </pic:blipFill>
                  <pic:spPr>
                    <a:xfrm>
                      <a:off x="0" y="0"/>
                      <a:ext cx="6641465" cy="1630680"/>
                    </a:xfrm>
                    <a:prstGeom prst="rect">
                      <a:avLst/>
                    </a:prstGeom>
                    <a:noFill/>
                    <a:ln>
                      <a:noFill/>
                    </a:ln>
                  </pic:spPr>
                </pic:pic>
              </a:graphicData>
            </a:graphic>
          </wp:inline>
        </w:drawing>
      </w:r>
    </w:p>
    <w:p>
      <w:pPr>
        <w:numPr>
          <w:ilvl w:val="0"/>
          <w:numId w:val="0"/>
        </w:numPr>
        <w:ind w:left="480" w:leftChars="0"/>
      </w:pPr>
      <w:r>
        <w:drawing>
          <wp:inline distT="0" distB="0" distL="114300" distR="114300">
            <wp:extent cx="6645275" cy="3036570"/>
            <wp:effectExtent l="0" t="0" r="9525" b="11430"/>
            <wp:docPr id="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pic:cNvPicPr>
                      <a:picLocks noChangeAspect="1"/>
                    </pic:cNvPicPr>
                  </pic:nvPicPr>
                  <pic:blipFill>
                    <a:blip r:embed="rId51"/>
                    <a:stretch>
                      <a:fillRect/>
                    </a:stretch>
                  </pic:blipFill>
                  <pic:spPr>
                    <a:xfrm>
                      <a:off x="0" y="0"/>
                      <a:ext cx="6645275" cy="3036570"/>
                    </a:xfrm>
                    <a:prstGeom prst="rect">
                      <a:avLst/>
                    </a:prstGeom>
                    <a:noFill/>
                    <a:ln>
                      <a:noFill/>
                    </a:ln>
                  </pic:spPr>
                </pic:pic>
              </a:graphicData>
            </a:graphic>
          </wp:inline>
        </w:drawing>
      </w:r>
    </w:p>
    <w:p>
      <w:pPr>
        <w:numPr>
          <w:ilvl w:val="0"/>
          <w:numId w:val="0"/>
        </w:numPr>
        <w:ind w:left="480" w:leftChars="0"/>
        <w:rPr>
          <w:rFonts w:hint="eastAsia"/>
          <w:lang w:val="en-US" w:eastAsia="zh-CN"/>
        </w:rPr>
      </w:pPr>
    </w:p>
    <w:p>
      <w:pPr>
        <w:pStyle w:val="28"/>
        <w:numPr>
          <w:ilvl w:val="0"/>
          <w:numId w:val="3"/>
        </w:numPr>
        <w:ind w:leftChars="100" w:right="240" w:rightChars="100"/>
        <w:outlineLvl w:val="1"/>
        <w:rPr>
          <w:rFonts w:hint="eastAsia" w:ascii="宋体" w:hAnsi="宋体" w:eastAsia="宋体" w:cs="宋体"/>
          <w:sz w:val="24"/>
          <w:szCs w:val="24"/>
          <w:lang w:val="en-US"/>
        </w:rPr>
      </w:pPr>
      <w:bookmarkStart w:id="57" w:name="_Toc21599"/>
      <w:r>
        <w:rPr>
          <w:rFonts w:hint="eastAsia"/>
          <w:color w:val="C00000"/>
          <w:lang w:val="en-US" w:eastAsia="zh-CN"/>
        </w:rPr>
        <w:t>开评标阶段</w:t>
      </w:r>
      <w:bookmarkEnd w:id="57"/>
      <w:bookmarkStart w:id="58" w:name="_Toc26264"/>
    </w:p>
    <w:p>
      <w:pPr>
        <w:pStyle w:val="28"/>
        <w:numPr>
          <w:ilvl w:val="1"/>
          <w:numId w:val="0"/>
        </w:numPr>
        <w:ind w:leftChars="100" w:right="240" w:rightChars="100" w:firstLine="480" w:firstLineChars="200"/>
        <w:outlineLvl w:val="2"/>
        <w:rPr>
          <w:rFonts w:hint="eastAsia" w:ascii="宋体" w:hAnsi="宋体" w:eastAsia="宋体" w:cs="宋体"/>
          <w:sz w:val="24"/>
          <w:szCs w:val="24"/>
          <w:lang w:val="en-US"/>
        </w:rPr>
      </w:pPr>
      <w:bookmarkStart w:id="59" w:name="_Toc28251"/>
      <w:r>
        <w:rPr>
          <w:rFonts w:hint="eastAsia" w:ascii="宋体" w:hAnsi="宋体" w:cs="宋体"/>
          <w:sz w:val="24"/>
          <w:szCs w:val="24"/>
          <w:lang w:val="en-US" w:eastAsia="zh-CN"/>
        </w:rPr>
        <w:t>3</w:t>
      </w:r>
      <w:r>
        <w:rPr>
          <w:rFonts w:hint="eastAsia" w:ascii="宋体" w:hAnsi="宋体" w:eastAsia="宋体" w:cs="宋体"/>
          <w:sz w:val="24"/>
          <w:szCs w:val="24"/>
          <w:lang w:val="en-US"/>
        </w:rPr>
        <w:t>.1</w:t>
      </w:r>
      <w:r>
        <w:rPr>
          <w:rFonts w:hint="eastAsia" w:ascii="宋体" w:hAnsi="宋体" w:eastAsia="宋体" w:cs="宋体"/>
          <w:sz w:val="24"/>
          <w:szCs w:val="24"/>
          <w:lang w:eastAsia="zh-CN"/>
        </w:rPr>
        <w:t>、报价形式设置</w:t>
      </w:r>
      <w:bookmarkEnd w:id="58"/>
      <w:bookmarkEnd w:id="59"/>
    </w:p>
    <w:p>
      <w:pPr>
        <w:keepNext w:val="0"/>
        <w:keepLines w:val="0"/>
        <w:widowControl w:val="0"/>
        <w:suppressLineNumbers w:val="0"/>
        <w:spacing w:before="0" w:beforeAutospacing="0" w:after="0" w:afterAutospacing="0"/>
        <w:ind w:right="0" w:firstLine="720" w:firstLineChars="300"/>
        <w:jc w:val="both"/>
        <w:rPr>
          <w:rFonts w:hint="eastAsia" w:ascii="宋体" w:hAnsi="宋体" w:eastAsia="宋体" w:cs="宋体"/>
          <w:color w:val="C00000"/>
          <w:kern w:val="2"/>
          <w:sz w:val="24"/>
          <w:szCs w:val="24"/>
          <w:lang w:val="en-US" w:eastAsia="zh-CN" w:bidi="ar"/>
        </w:rPr>
      </w:pPr>
      <w:r>
        <w:rPr>
          <w:rFonts w:hint="eastAsia" w:ascii="宋体" w:hAnsi="宋体" w:eastAsia="宋体" w:cs="宋体"/>
          <w:color w:val="C00000"/>
          <w:kern w:val="2"/>
          <w:sz w:val="24"/>
          <w:szCs w:val="24"/>
          <w:lang w:val="en-US" w:eastAsia="zh-CN" w:bidi="ar"/>
        </w:rPr>
        <w:t>（此环节无需填写）</w:t>
      </w:r>
    </w:p>
    <w:p>
      <w:pPr>
        <w:pStyle w:val="28"/>
        <w:numPr>
          <w:ilvl w:val="1"/>
          <w:numId w:val="0"/>
        </w:numPr>
        <w:ind w:leftChars="100" w:right="240" w:rightChars="100" w:firstLine="480" w:firstLineChars="200"/>
        <w:outlineLvl w:val="2"/>
        <w:rPr>
          <w:rFonts w:hint="eastAsia" w:ascii="宋体" w:hAnsi="宋体" w:cs="宋体"/>
          <w:sz w:val="24"/>
          <w:szCs w:val="24"/>
          <w:lang w:val="en-US" w:eastAsia="zh-CN"/>
        </w:rPr>
      </w:pPr>
      <w:bookmarkStart w:id="60" w:name="_Toc27645"/>
      <w:r>
        <w:rPr>
          <w:rFonts w:hint="eastAsia" w:ascii="宋体" w:hAnsi="宋体" w:cs="宋体"/>
          <w:sz w:val="24"/>
          <w:szCs w:val="24"/>
          <w:lang w:val="en-US" w:eastAsia="zh-CN"/>
        </w:rPr>
        <w:t>3.2开标结果记录表（第一信封）</w:t>
      </w:r>
      <w:bookmarkEnd w:id="60"/>
    </w:p>
    <w:p>
      <w:pPr>
        <w:keepNext w:val="0"/>
        <w:keepLines w:val="0"/>
        <w:widowControl w:val="0"/>
        <w:suppressLineNumbers w:val="0"/>
        <w:spacing w:before="120" w:beforeLines="50" w:beforeAutospacing="0" w:after="120" w:afterLines="50" w:afterAutospacing="0" w:line="480" w:lineRule="auto"/>
        <w:ind w:left="0" w:right="0" w:firstLine="560"/>
        <w:jc w:val="both"/>
        <w:rPr>
          <w:rFonts w:hint="default" w:ascii="宋体" w:hAnsi="宋体" w:eastAsia="宋体" w:cs="宋体"/>
          <w:b/>
          <w:bCs/>
          <w:color w:val="C00000"/>
          <w:sz w:val="24"/>
          <w:szCs w:val="24"/>
          <w:lang w:val="en-US"/>
        </w:rPr>
      </w:pPr>
      <w:r>
        <w:rPr>
          <w:rFonts w:hint="eastAsia" w:ascii="宋体" w:hAnsi="宋体" w:cs="宋体"/>
          <w:sz w:val="24"/>
          <w:szCs w:val="24"/>
          <w:lang w:val="en-US" w:eastAsia="zh-CN"/>
        </w:rPr>
        <w:t xml:space="preserve">        </w:t>
      </w:r>
      <w:r>
        <w:rPr>
          <w:rFonts w:hint="eastAsia" w:ascii="宋体" w:hAnsi="宋体" w:eastAsia="宋体" w:cs="宋体"/>
          <w:kern w:val="2"/>
          <w:sz w:val="24"/>
          <w:szCs w:val="24"/>
          <w:lang w:val="en-US" w:eastAsia="zh-CN" w:bidi="ar"/>
        </w:rPr>
        <w:t>在【开标结果记录</w:t>
      </w:r>
      <w:r>
        <w:rPr>
          <w:rFonts w:hint="eastAsia" w:ascii="宋体" w:hAnsi="宋体" w:cs="宋体"/>
          <w:kern w:val="2"/>
          <w:sz w:val="24"/>
          <w:szCs w:val="24"/>
          <w:lang w:val="en-US" w:eastAsia="zh-CN" w:bidi="ar"/>
        </w:rPr>
        <w:t>表（第一信封）</w:t>
      </w:r>
      <w:r>
        <w:rPr>
          <w:rFonts w:hint="eastAsia" w:ascii="宋体" w:hAnsi="宋体" w:eastAsia="宋体" w:cs="宋体"/>
          <w:kern w:val="2"/>
          <w:sz w:val="24"/>
          <w:szCs w:val="24"/>
          <w:lang w:val="en-US" w:eastAsia="zh-CN" w:bidi="ar"/>
        </w:rPr>
        <w:t>】界面，点击“编辑”选择“保证金递交情况”等；开标报表有系统自动上传</w:t>
      </w:r>
      <w:r>
        <w:rPr>
          <w:rFonts w:hint="eastAsia" w:ascii="宋体" w:hAnsi="宋体" w:cs="宋体"/>
          <w:kern w:val="2"/>
          <w:sz w:val="24"/>
          <w:szCs w:val="24"/>
          <w:lang w:val="en-US" w:eastAsia="zh-CN" w:bidi="ar"/>
        </w:rPr>
        <w:t>；检查无问题点击“提交”。</w:t>
      </w:r>
    </w:p>
    <w:p>
      <w:pPr>
        <w:keepNext w:val="0"/>
        <w:keepLines w:val="0"/>
        <w:widowControl w:val="0"/>
        <w:suppressLineNumbers w:val="0"/>
        <w:spacing w:before="120" w:beforeLines="50" w:beforeAutospacing="0" w:after="120" w:afterLines="50" w:afterAutospacing="0" w:line="480" w:lineRule="auto"/>
        <w:ind w:left="0" w:right="0" w:firstLine="1440" w:firstLineChars="600"/>
        <w:jc w:val="both"/>
        <w:rPr>
          <w:rFonts w:hint="eastAsia" w:ascii="宋体" w:hAnsi="宋体" w:eastAsia="宋体" w:cs="宋体"/>
          <w:color w:val="C00000"/>
          <w:sz w:val="24"/>
          <w:szCs w:val="24"/>
          <w:lang w:val="en-US"/>
        </w:rPr>
      </w:pPr>
      <w:r>
        <w:rPr>
          <w:rFonts w:hint="eastAsia" w:ascii="宋体" w:hAnsi="宋体" w:eastAsia="宋体" w:cs="宋体"/>
          <w:color w:val="C00000"/>
          <w:kern w:val="2"/>
          <w:sz w:val="24"/>
          <w:szCs w:val="24"/>
          <w:lang w:val="en-US" w:eastAsia="zh-CN" w:bidi="ar"/>
        </w:rPr>
        <w:t>备注：1、电子标此步骤无需操作，开标结束后自动推送开标结果</w:t>
      </w:r>
    </w:p>
    <w:p>
      <w:pPr>
        <w:keepNext w:val="0"/>
        <w:keepLines w:val="0"/>
        <w:widowControl w:val="0"/>
        <w:suppressLineNumbers w:val="0"/>
        <w:spacing w:before="120" w:beforeLines="50" w:beforeAutospacing="0" w:after="120" w:afterLines="50" w:afterAutospacing="0" w:line="480" w:lineRule="auto"/>
        <w:ind w:right="0" w:firstLine="2160" w:firstLineChars="900"/>
        <w:jc w:val="both"/>
        <w:rPr>
          <w:rFonts w:hint="eastAsia" w:ascii="宋体" w:hAnsi="宋体" w:eastAsia="宋体" w:cs="宋体"/>
          <w:color w:val="C00000"/>
          <w:sz w:val="24"/>
          <w:szCs w:val="24"/>
          <w:lang w:val="en-US"/>
        </w:rPr>
      </w:pPr>
      <w:r>
        <w:rPr>
          <w:rFonts w:hint="eastAsia" w:ascii="宋体" w:hAnsi="宋体" w:eastAsia="宋体" w:cs="宋体"/>
          <w:color w:val="C00000"/>
          <w:kern w:val="2"/>
          <w:sz w:val="24"/>
          <w:szCs w:val="24"/>
          <w:lang w:val="en-US" w:eastAsia="zh-CN" w:bidi="ar"/>
        </w:rPr>
        <w:t>2、若是线下开标，需手动录入开标信息；点击“添加开标记录”。点击进入开标结果页面，在页面中录入相关的开标信息。</w:t>
      </w:r>
    </w:p>
    <w:p>
      <w:r>
        <w:drawing>
          <wp:inline distT="0" distB="0" distL="114300" distR="114300">
            <wp:extent cx="6644640" cy="3229610"/>
            <wp:effectExtent l="0" t="0" r="10160" b="889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52"/>
                    <a:stretch>
                      <a:fillRect/>
                    </a:stretch>
                  </pic:blipFill>
                  <pic:spPr>
                    <a:xfrm>
                      <a:off x="0" y="0"/>
                      <a:ext cx="6644640" cy="3229610"/>
                    </a:xfrm>
                    <a:prstGeom prst="rect">
                      <a:avLst/>
                    </a:prstGeom>
                    <a:noFill/>
                    <a:ln>
                      <a:noFill/>
                    </a:ln>
                  </pic:spPr>
                </pic:pic>
              </a:graphicData>
            </a:graphic>
          </wp:inline>
        </w:drawing>
      </w:r>
    </w:p>
    <w:p>
      <w:pPr>
        <w:pStyle w:val="28"/>
        <w:numPr>
          <w:ilvl w:val="1"/>
          <w:numId w:val="0"/>
        </w:numPr>
        <w:ind w:leftChars="100" w:right="240" w:rightChars="100" w:firstLine="480" w:firstLineChars="200"/>
        <w:outlineLvl w:val="2"/>
        <w:rPr>
          <w:rFonts w:hint="eastAsia" w:ascii="宋体" w:hAnsi="宋体" w:cs="宋体"/>
          <w:sz w:val="24"/>
          <w:szCs w:val="24"/>
          <w:lang w:val="en-US" w:eastAsia="zh-CN"/>
        </w:rPr>
      </w:pPr>
      <w:bookmarkStart w:id="61" w:name="_Toc20679"/>
      <w:r>
        <w:rPr>
          <w:rFonts w:hint="eastAsia" w:ascii="宋体" w:hAnsi="宋体" w:cs="宋体"/>
          <w:sz w:val="24"/>
          <w:szCs w:val="24"/>
          <w:lang w:val="en-US" w:eastAsia="zh-CN"/>
        </w:rPr>
        <w:t>3.3评标结果记录表（第一信封）</w:t>
      </w:r>
      <w:bookmarkEnd w:id="61"/>
    </w:p>
    <w:p>
      <w:pPr>
        <w:keepNext w:val="0"/>
        <w:keepLines w:val="0"/>
        <w:widowControl w:val="0"/>
        <w:suppressLineNumbers w:val="0"/>
        <w:spacing w:before="120" w:beforeLines="50" w:beforeAutospacing="0" w:after="120" w:afterLines="50" w:afterAutospacing="0" w:line="480" w:lineRule="auto"/>
        <w:ind w:left="0" w:right="0" w:firstLine="480" w:firstLineChars="200"/>
        <w:jc w:val="both"/>
        <w:rPr>
          <w:rFonts w:hint="eastAsia" w:ascii="宋体" w:hAnsi="宋体" w:cs="宋体"/>
          <w:kern w:val="2"/>
          <w:sz w:val="24"/>
          <w:szCs w:val="24"/>
          <w:lang w:val="en-US" w:eastAsia="zh-CN" w:bidi="ar"/>
        </w:rPr>
      </w:pPr>
      <w:r>
        <w:rPr>
          <w:rFonts w:hint="eastAsia"/>
          <w:lang w:val="en-US" w:eastAsia="zh-CN"/>
        </w:rPr>
        <w:t xml:space="preserve">       </w:t>
      </w:r>
      <w:r>
        <w:rPr>
          <w:rFonts w:hint="eastAsia" w:ascii="宋体" w:hAnsi="宋体" w:eastAsia="宋体" w:cs="宋体"/>
          <w:kern w:val="2"/>
          <w:sz w:val="24"/>
          <w:szCs w:val="24"/>
          <w:lang w:val="en-US" w:eastAsia="zh-CN" w:bidi="ar"/>
        </w:rPr>
        <w:t>在【评标结果记录</w:t>
      </w:r>
      <w:r>
        <w:rPr>
          <w:rFonts w:hint="eastAsia" w:ascii="宋体" w:hAnsi="宋体" w:cs="宋体"/>
          <w:kern w:val="2"/>
          <w:sz w:val="24"/>
          <w:szCs w:val="24"/>
          <w:lang w:val="en-US" w:eastAsia="zh-CN" w:bidi="ar"/>
        </w:rPr>
        <w:t>表（第一信封）</w:t>
      </w:r>
      <w:r>
        <w:rPr>
          <w:rFonts w:hint="eastAsia" w:ascii="宋体" w:hAnsi="宋体" w:eastAsia="宋体" w:cs="宋体"/>
          <w:kern w:val="2"/>
          <w:sz w:val="24"/>
          <w:szCs w:val="24"/>
          <w:lang w:val="en-US" w:eastAsia="zh-CN" w:bidi="ar"/>
        </w:rPr>
        <w:t>】界面，</w:t>
      </w:r>
      <w:r>
        <w:rPr>
          <w:rFonts w:hint="eastAsia" w:ascii="宋体" w:hAnsi="宋体" w:cs="宋体"/>
          <w:kern w:val="2"/>
          <w:sz w:val="24"/>
          <w:szCs w:val="24"/>
          <w:lang w:val="en-US" w:eastAsia="zh-CN" w:bidi="ar"/>
        </w:rPr>
        <w:t>点击“编辑”输入评标报告的标题信息，在【添加评标结果记录】中针对于每家投标单位点击“编辑”，填写“评标情况”“响应情况”等内容；检查无问题点击“提交”。</w:t>
      </w:r>
    </w:p>
    <w:p>
      <w:pPr>
        <w:keepNext w:val="0"/>
        <w:keepLines w:val="0"/>
        <w:widowControl w:val="0"/>
        <w:suppressLineNumbers w:val="0"/>
        <w:spacing w:before="120" w:beforeLines="50" w:beforeAutospacing="0" w:after="120" w:afterLines="50" w:afterAutospacing="0" w:line="480" w:lineRule="auto"/>
        <w:ind w:left="0" w:right="0" w:firstLine="723" w:firstLineChars="300"/>
        <w:jc w:val="both"/>
        <w:rPr>
          <w:rFonts w:hint="eastAsia" w:ascii="宋体" w:hAnsi="宋体" w:eastAsia="宋体" w:cs="宋体"/>
          <w:color w:val="C00000"/>
          <w:sz w:val="24"/>
          <w:szCs w:val="24"/>
          <w:lang w:val="en-US"/>
        </w:rPr>
      </w:pPr>
      <w:r>
        <w:rPr>
          <w:rFonts w:hint="eastAsia" w:ascii="宋体" w:hAnsi="宋体" w:eastAsia="宋体" w:cs="宋体"/>
          <w:b/>
          <w:bCs/>
          <w:color w:val="C00000"/>
          <w:kern w:val="2"/>
          <w:sz w:val="24"/>
          <w:szCs w:val="24"/>
          <w:lang w:val="en-US" w:eastAsia="zh-CN" w:bidi="ar"/>
        </w:rPr>
        <w:t>备注：</w:t>
      </w:r>
      <w:r>
        <w:rPr>
          <w:rFonts w:hint="eastAsia" w:ascii="宋体" w:hAnsi="宋体" w:eastAsia="宋体" w:cs="宋体"/>
          <w:color w:val="C00000"/>
          <w:kern w:val="2"/>
          <w:sz w:val="24"/>
          <w:szCs w:val="24"/>
          <w:lang w:val="en-US" w:eastAsia="zh-CN" w:bidi="ar"/>
        </w:rPr>
        <w:t>1、电子标此步骤无需操作，开标结束后自动推送评标结果</w:t>
      </w:r>
    </w:p>
    <w:p>
      <w:pPr>
        <w:keepNext w:val="0"/>
        <w:keepLines w:val="0"/>
        <w:widowControl w:val="0"/>
        <w:numPr>
          <w:ilvl w:val="0"/>
          <w:numId w:val="4"/>
        </w:numPr>
        <w:suppressLineNumbers w:val="0"/>
        <w:spacing w:before="120" w:beforeLines="50" w:beforeAutospacing="0" w:after="120" w:afterLines="50" w:afterAutospacing="0" w:line="480" w:lineRule="auto"/>
        <w:ind w:left="0" w:right="0" w:firstLine="1440" w:firstLineChars="600"/>
        <w:jc w:val="both"/>
        <w:rPr>
          <w:rFonts w:hint="eastAsia" w:ascii="宋体" w:hAnsi="宋体" w:eastAsia="宋体" w:cs="宋体"/>
          <w:color w:val="C00000"/>
          <w:kern w:val="2"/>
          <w:sz w:val="24"/>
          <w:szCs w:val="24"/>
          <w:lang w:val="en-US" w:eastAsia="zh-CN" w:bidi="ar"/>
        </w:rPr>
      </w:pPr>
      <w:r>
        <w:rPr>
          <w:rFonts w:hint="eastAsia" w:ascii="宋体" w:hAnsi="宋体" w:eastAsia="宋体" w:cs="宋体"/>
          <w:color w:val="C00000"/>
          <w:kern w:val="2"/>
          <w:sz w:val="24"/>
          <w:szCs w:val="24"/>
          <w:lang w:val="en-US" w:eastAsia="zh-CN" w:bidi="ar"/>
        </w:rPr>
        <w:t>若是线下开标，需手动录入开标信息；点击“添加评标结果记录”。点击进入评标结果页面，在页面中录入相关的评标信息。</w:t>
      </w:r>
    </w:p>
    <w:p>
      <w:pPr>
        <w:pStyle w:val="28"/>
        <w:numPr>
          <w:ilvl w:val="1"/>
          <w:numId w:val="0"/>
        </w:numPr>
        <w:ind w:leftChars="100" w:right="240" w:rightChars="100" w:firstLine="480" w:firstLineChars="200"/>
        <w:outlineLvl w:val="2"/>
        <w:rPr>
          <w:rFonts w:hint="eastAsia" w:ascii="宋体" w:hAnsi="宋体" w:cs="宋体"/>
          <w:sz w:val="24"/>
          <w:szCs w:val="24"/>
          <w:lang w:val="en-US" w:eastAsia="zh-CN"/>
        </w:rPr>
      </w:pPr>
      <w:r>
        <w:rPr>
          <w:rFonts w:hint="eastAsia" w:ascii="宋体" w:hAnsi="宋体" w:cs="宋体"/>
          <w:color w:val="C00000"/>
          <w:kern w:val="2"/>
          <w:sz w:val="24"/>
          <w:szCs w:val="24"/>
          <w:lang w:val="en-US" w:eastAsia="zh-CN" w:bidi="ar"/>
        </w:rPr>
        <w:t xml:space="preserve"> </w:t>
      </w:r>
      <w:bookmarkStart w:id="62" w:name="_Toc2057"/>
      <w:r>
        <w:rPr>
          <w:rFonts w:hint="eastAsia" w:ascii="宋体" w:hAnsi="宋体" w:cs="宋体"/>
          <w:sz w:val="24"/>
          <w:szCs w:val="24"/>
          <w:lang w:val="en-US" w:eastAsia="zh-CN"/>
        </w:rPr>
        <w:t>3.4开标结果记录表（第二信封）/评标结果记录表（第二信封）</w:t>
      </w:r>
      <w:bookmarkEnd w:id="62"/>
    </w:p>
    <w:p>
      <w:pPr>
        <w:rPr>
          <w:rFonts w:hint="eastAsia" w:ascii="宋体" w:hAnsi="宋体" w:cs="宋体"/>
          <w:color w:val="C00000"/>
          <w:sz w:val="24"/>
          <w:szCs w:val="24"/>
          <w:lang w:val="en-US" w:eastAsia="zh-CN"/>
        </w:rPr>
      </w:pPr>
      <w:r>
        <w:rPr>
          <w:rFonts w:hint="eastAsia" w:ascii="宋体" w:hAnsi="宋体" w:cs="宋体"/>
          <w:sz w:val="24"/>
          <w:szCs w:val="24"/>
          <w:lang w:val="en-US" w:eastAsia="zh-CN"/>
        </w:rPr>
        <w:t xml:space="preserve">        </w:t>
      </w:r>
      <w:r>
        <w:rPr>
          <w:rFonts w:hint="eastAsia" w:ascii="宋体" w:hAnsi="宋体" w:cs="宋体"/>
          <w:color w:val="C00000"/>
          <w:sz w:val="24"/>
          <w:szCs w:val="24"/>
          <w:lang w:val="en-US" w:eastAsia="zh-CN"/>
        </w:rPr>
        <w:t xml:space="preserve"> </w:t>
      </w:r>
      <w:r>
        <w:rPr>
          <w:rFonts w:hint="eastAsia" w:ascii="宋体" w:hAnsi="宋体" w:cs="宋体"/>
          <w:b/>
          <w:bCs/>
          <w:color w:val="C00000"/>
          <w:sz w:val="24"/>
          <w:szCs w:val="24"/>
          <w:lang w:val="en-US" w:eastAsia="zh-CN"/>
        </w:rPr>
        <w:t>操作流程同第一信封一致。</w:t>
      </w:r>
    </w:p>
    <w:p>
      <w:pPr>
        <w:rPr>
          <w:rFonts w:hint="default" w:ascii="宋体" w:hAnsi="宋体" w:cs="宋体"/>
          <w:color w:val="C00000"/>
          <w:sz w:val="24"/>
          <w:szCs w:val="24"/>
          <w:lang w:val="en-US" w:eastAsia="zh-CN"/>
        </w:rPr>
      </w:pPr>
    </w:p>
    <w:p>
      <w:pPr>
        <w:pStyle w:val="28"/>
        <w:numPr>
          <w:ilvl w:val="0"/>
          <w:numId w:val="3"/>
        </w:numPr>
        <w:ind w:leftChars="100" w:right="240" w:rightChars="100"/>
        <w:rPr>
          <w:rFonts w:hint="eastAsia" w:ascii="宋体" w:hAnsi="宋体" w:eastAsia="宋体" w:cs="宋体"/>
          <w:sz w:val="24"/>
          <w:szCs w:val="24"/>
          <w:lang w:val="en-US"/>
        </w:rPr>
      </w:pPr>
      <w:bookmarkStart w:id="63" w:name="_Toc30034"/>
      <w:r>
        <w:rPr>
          <w:rFonts w:hint="eastAsia"/>
          <w:color w:val="C00000"/>
          <w:lang w:val="en-US" w:eastAsia="zh-CN"/>
        </w:rPr>
        <w:t>定标阶段</w:t>
      </w:r>
      <w:bookmarkEnd w:id="63"/>
    </w:p>
    <w:p>
      <w:pPr>
        <w:keepNext w:val="0"/>
        <w:keepLines w:val="0"/>
        <w:widowControl w:val="0"/>
        <w:numPr>
          <w:ilvl w:val="0"/>
          <w:numId w:val="0"/>
        </w:numPr>
        <w:suppressLineNumbers w:val="0"/>
        <w:spacing w:before="0" w:beforeAutospacing="0" w:after="0" w:afterAutospacing="0"/>
        <w:ind w:leftChars="0" w:right="0" w:rightChars="0" w:firstLine="482" w:firstLineChars="200"/>
        <w:jc w:val="both"/>
        <w:outlineLvl w:val="2"/>
        <w:rPr>
          <w:rFonts w:hint="eastAsia" w:ascii="宋体" w:hAnsi="宋体" w:eastAsia="宋体" w:cs="宋体"/>
          <w:b/>
          <w:bCs w:val="0"/>
          <w:color w:val="000000"/>
          <w:kern w:val="28"/>
          <w:sz w:val="24"/>
          <w:szCs w:val="24"/>
          <w:lang w:val="en-US"/>
        </w:rPr>
      </w:pPr>
      <w:bookmarkStart w:id="64" w:name="_Toc17263"/>
      <w:bookmarkStart w:id="65" w:name="_Toc26745"/>
      <w:r>
        <w:rPr>
          <w:rFonts w:hint="eastAsia" w:ascii="宋体" w:hAnsi="宋体" w:cs="宋体"/>
          <w:b/>
          <w:bCs w:val="0"/>
          <w:color w:val="000000"/>
          <w:kern w:val="28"/>
          <w:sz w:val="24"/>
          <w:szCs w:val="24"/>
          <w:lang w:val="en-US" w:eastAsia="zh-CN" w:bidi="ar"/>
        </w:rPr>
        <w:t>4.1</w:t>
      </w:r>
      <w:r>
        <w:rPr>
          <w:rFonts w:hint="eastAsia" w:ascii="宋体" w:hAnsi="宋体" w:eastAsia="宋体" w:cs="宋体"/>
          <w:b/>
          <w:bCs w:val="0"/>
          <w:color w:val="000000"/>
          <w:kern w:val="28"/>
          <w:sz w:val="24"/>
          <w:szCs w:val="24"/>
          <w:lang w:val="en-US" w:eastAsia="zh-CN" w:bidi="ar"/>
        </w:rPr>
        <w:t>中标候选人公示</w:t>
      </w:r>
      <w:bookmarkEnd w:id="64"/>
      <w:bookmarkEnd w:id="65"/>
    </w:p>
    <w:p>
      <w:pPr>
        <w:keepNext w:val="0"/>
        <w:keepLines w:val="0"/>
        <w:widowControl w:val="0"/>
        <w:suppressLineNumbers w:val="0"/>
        <w:spacing w:before="0" w:beforeAutospacing="0" w:after="0" w:afterAutospacing="0"/>
        <w:ind w:left="480" w:leftChars="200" w:right="0" w:firstLine="554" w:firstLineChars="231"/>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在信息类型中选择【中标候选人】， 点击“新增中标候选人公示”勾选对应标段，点击“确定”，进入下一页面填写公示开始及结束时间。中标候选人公示（发布后投标人可自主查看，以及公示截止时间；“附件信息”里面的中标候选人公示（签章）点击右下角“生成公示并签章”在线签章插入CA锁进行签章，完成之后点击“提交”自动上传附件信息。</w:t>
      </w:r>
    </w:p>
    <w:p>
      <w:pPr>
        <w:keepNext w:val="0"/>
        <w:keepLines w:val="0"/>
        <w:widowControl/>
        <w:suppressLineNumbers w:val="0"/>
        <w:ind w:firstLine="480" w:firstLineChars="200"/>
        <w:jc w:val="left"/>
      </w:pPr>
      <w:r>
        <w:rPr>
          <w:rFonts w:hint="eastAsia" w:ascii="宋体" w:hAnsi="宋体" w:eastAsia="宋体" w:cs="宋体"/>
          <w:color w:val="C00000"/>
          <w:kern w:val="2"/>
          <w:sz w:val="24"/>
          <w:szCs w:val="24"/>
          <w:lang w:val="en-US" w:eastAsia="zh-CN" w:bidi="ar"/>
        </w:rPr>
        <w:t>备注：若中标候选人有变更，也可以点击“变更中标候选人公示”进行操作。</w:t>
      </w:r>
      <w:r>
        <w:drawing>
          <wp:inline distT="0" distB="0" distL="114300" distR="114300">
            <wp:extent cx="5485130" cy="2685415"/>
            <wp:effectExtent l="0" t="0" r="1270" b="698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3"/>
                    <a:stretch>
                      <a:fillRect/>
                    </a:stretch>
                  </pic:blipFill>
                  <pic:spPr>
                    <a:xfrm>
                      <a:off x="0" y="0"/>
                      <a:ext cx="5485130" cy="2685415"/>
                    </a:xfrm>
                    <a:prstGeom prst="rect">
                      <a:avLst/>
                    </a:prstGeom>
                    <a:noFill/>
                    <a:ln>
                      <a:noFill/>
                    </a:ln>
                  </pic:spPr>
                </pic:pic>
              </a:graphicData>
            </a:graphic>
          </wp:inline>
        </w:drawing>
      </w:r>
    </w:p>
    <w:p>
      <w:pPr>
        <w:keepNext w:val="0"/>
        <w:keepLines w:val="0"/>
        <w:widowControl/>
        <w:suppressLineNumbers w:val="0"/>
        <w:jc w:val="left"/>
      </w:pPr>
    </w:p>
    <w:p>
      <w:pPr>
        <w:keepNext w:val="0"/>
        <w:keepLines w:val="0"/>
        <w:widowControl/>
        <w:suppressLineNumbers w:val="0"/>
        <w:jc w:val="left"/>
      </w:pPr>
      <w:r>
        <w:drawing>
          <wp:inline distT="0" distB="0" distL="114300" distR="114300">
            <wp:extent cx="5477510" cy="2132330"/>
            <wp:effectExtent l="0" t="0" r="8890" b="127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54"/>
                    <a:stretch>
                      <a:fillRect/>
                    </a:stretch>
                  </pic:blipFill>
                  <pic:spPr>
                    <a:xfrm>
                      <a:off x="0" y="0"/>
                      <a:ext cx="5477510" cy="2132330"/>
                    </a:xfrm>
                    <a:prstGeom prst="rect">
                      <a:avLst/>
                    </a:prstGeom>
                    <a:noFill/>
                    <a:ln>
                      <a:noFill/>
                    </a:ln>
                  </pic:spPr>
                </pic:pic>
              </a:graphicData>
            </a:graphic>
          </wp:inline>
        </w:drawing>
      </w:r>
      <w:r>
        <w:drawing>
          <wp:inline distT="0" distB="0" distL="114300" distR="114300">
            <wp:extent cx="5479415" cy="2690495"/>
            <wp:effectExtent l="0" t="0" r="6985" b="190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55"/>
                    <a:stretch>
                      <a:fillRect/>
                    </a:stretch>
                  </pic:blipFill>
                  <pic:spPr>
                    <a:xfrm>
                      <a:off x="0" y="0"/>
                      <a:ext cx="5479415" cy="2690495"/>
                    </a:xfrm>
                    <a:prstGeom prst="rect">
                      <a:avLst/>
                    </a:prstGeom>
                    <a:noFill/>
                    <a:ln>
                      <a:noFill/>
                    </a:ln>
                  </pic:spPr>
                </pic:pic>
              </a:graphicData>
            </a:graphic>
          </wp:inline>
        </w:drawing>
      </w:r>
    </w:p>
    <w:p>
      <w:pPr>
        <w:keepNext w:val="0"/>
        <w:keepLines w:val="0"/>
        <w:widowControl/>
        <w:suppressLineNumbers w:val="0"/>
        <w:jc w:val="left"/>
        <w:rPr>
          <w:rFonts w:hint="eastAsia" w:ascii="宋体" w:hAnsi="宋体" w:eastAsia="宋体" w:cs="宋体"/>
          <w:color w:val="C00000"/>
          <w:kern w:val="2"/>
          <w:sz w:val="24"/>
          <w:szCs w:val="24"/>
          <w:lang w:val="en-US" w:eastAsia="zh-CN" w:bidi="ar"/>
        </w:rPr>
      </w:pPr>
    </w:p>
    <w:p>
      <w:pPr>
        <w:keepNext w:val="0"/>
        <w:keepLines w:val="0"/>
        <w:widowControl w:val="0"/>
        <w:numPr>
          <w:ilvl w:val="0"/>
          <w:numId w:val="0"/>
        </w:numPr>
        <w:suppressLineNumbers w:val="0"/>
        <w:spacing w:before="0" w:beforeAutospacing="0" w:after="0" w:afterAutospacing="0"/>
        <w:ind w:leftChars="0" w:right="0" w:rightChars="0" w:firstLine="723" w:firstLineChars="300"/>
        <w:jc w:val="both"/>
        <w:outlineLvl w:val="2"/>
      </w:pPr>
      <w:bookmarkStart w:id="66" w:name="_Toc16751"/>
      <w:r>
        <w:rPr>
          <w:rFonts w:hint="eastAsia" w:ascii="宋体" w:hAnsi="宋体" w:cs="宋体"/>
          <w:b/>
          <w:bCs w:val="0"/>
          <w:color w:val="000000"/>
          <w:kern w:val="28"/>
          <w:sz w:val="24"/>
          <w:szCs w:val="24"/>
          <w:lang w:val="en-US" w:eastAsia="zh-CN" w:bidi="ar"/>
        </w:rPr>
        <w:t>4.2</w:t>
      </w:r>
      <w:r>
        <w:rPr>
          <w:rFonts w:hint="eastAsia" w:ascii="宋体" w:hAnsi="宋体" w:eastAsia="宋体" w:cs="宋体"/>
          <w:b/>
          <w:bCs w:val="0"/>
          <w:color w:val="000000"/>
          <w:kern w:val="28"/>
          <w:sz w:val="24"/>
          <w:szCs w:val="24"/>
          <w:lang w:val="en-US" w:eastAsia="zh-CN" w:bidi="ar"/>
        </w:rPr>
        <w:t>中标结果公告</w:t>
      </w:r>
      <w:bookmarkEnd w:id="66"/>
    </w:p>
    <w:p>
      <w:pPr>
        <w:keepNext w:val="0"/>
        <w:keepLines w:val="0"/>
        <w:widowControl w:val="0"/>
        <w:suppressLineNumbers w:val="0"/>
        <w:spacing w:before="0" w:beforeAutospacing="0" w:after="0" w:afterAutospacing="0"/>
        <w:ind w:left="720" w:leftChars="300" w:right="0" w:firstLine="720" w:firstLineChars="300"/>
        <w:jc w:val="both"/>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在【中标结果公告】界面，点击“编辑”填写公告信息，选择中标人信息。“附件信息”里面的中标候选人公示（签章）点击右下角“生成公示并签章”在线签章插入CA锁进行签章，完成之后点击“提交”自动上传附件信息。</w:t>
      </w:r>
    </w:p>
    <w:p>
      <w:pPr>
        <w:keepNext w:val="0"/>
        <w:keepLines w:val="0"/>
        <w:widowControl w:val="0"/>
        <w:suppressLineNumbers w:val="0"/>
        <w:spacing w:before="0" w:beforeAutospacing="0" w:after="0" w:afterAutospacing="0"/>
        <w:ind w:left="0" w:right="0" w:firstLine="964" w:firstLineChars="400"/>
        <w:jc w:val="both"/>
        <w:rPr>
          <w:rFonts w:hint="eastAsia" w:ascii="宋体" w:hAnsi="宋体" w:eastAsia="宋体" w:cs="宋体"/>
          <w:b/>
          <w:bCs/>
          <w:color w:val="C00000"/>
          <w:kern w:val="2"/>
          <w:sz w:val="24"/>
          <w:szCs w:val="24"/>
          <w:lang w:val="en-US" w:eastAsia="zh-CN" w:bidi="ar"/>
        </w:rPr>
      </w:pPr>
      <w:r>
        <w:rPr>
          <w:rFonts w:hint="eastAsia" w:ascii="宋体" w:hAnsi="宋体" w:eastAsia="宋体" w:cs="宋体"/>
          <w:b/>
          <w:bCs/>
          <w:color w:val="C00000"/>
          <w:kern w:val="2"/>
          <w:sz w:val="24"/>
          <w:szCs w:val="24"/>
          <w:lang w:val="en-US" w:eastAsia="zh-CN" w:bidi="ar"/>
        </w:rPr>
        <w:t>【此环节两级审批：先招标人审批再监管审批】</w:t>
      </w:r>
    </w:p>
    <w:p>
      <w:pPr>
        <w:keepNext w:val="0"/>
        <w:keepLines w:val="0"/>
        <w:widowControl w:val="0"/>
        <w:suppressLineNumbers w:val="0"/>
        <w:spacing w:before="0" w:beforeAutospacing="0" w:after="0" w:afterAutospacing="0"/>
        <w:ind w:left="0" w:right="0" w:firstLine="960" w:firstLineChars="400"/>
        <w:jc w:val="both"/>
        <w:rPr>
          <w:rFonts w:hint="eastAsia" w:ascii="宋体" w:hAnsi="宋体" w:eastAsia="宋体" w:cs="宋体"/>
          <w:b/>
          <w:bCs/>
          <w:color w:val="C00000"/>
          <w:kern w:val="2"/>
          <w:sz w:val="24"/>
          <w:szCs w:val="24"/>
          <w:lang w:val="en-US" w:eastAsia="zh-CN" w:bidi="ar"/>
        </w:rPr>
      </w:pPr>
      <w:r>
        <w:drawing>
          <wp:inline distT="0" distB="0" distL="114300" distR="114300">
            <wp:extent cx="5480050" cy="2541270"/>
            <wp:effectExtent l="0" t="0" r="6350" b="1143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56"/>
                    <a:stretch>
                      <a:fillRect/>
                    </a:stretch>
                  </pic:blipFill>
                  <pic:spPr>
                    <a:xfrm>
                      <a:off x="0" y="0"/>
                      <a:ext cx="5480050" cy="254127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firstLine="482" w:firstLineChars="200"/>
        <w:jc w:val="both"/>
        <w:rPr>
          <w:rFonts w:hint="eastAsia" w:ascii="宋体" w:hAnsi="宋体" w:eastAsia="宋体" w:cs="宋体"/>
          <w:b/>
          <w:bCs/>
          <w:color w:val="C00000"/>
          <w:kern w:val="2"/>
          <w:sz w:val="24"/>
          <w:szCs w:val="24"/>
          <w:lang w:val="en-US" w:eastAsia="zh-CN" w:bidi="ar"/>
        </w:rPr>
      </w:pPr>
    </w:p>
    <w:p>
      <w:pPr>
        <w:rPr>
          <w:rFonts w:hint="eastAsia"/>
          <w:lang w:val="en-US"/>
        </w:rPr>
      </w:pPr>
    </w:p>
    <w:p>
      <w:pPr>
        <w:keepNext w:val="0"/>
        <w:keepLines w:val="0"/>
        <w:widowControl w:val="0"/>
        <w:suppressLineNumbers w:val="0"/>
        <w:spacing w:before="0" w:beforeAutospacing="0" w:after="0" w:afterAutospacing="0"/>
        <w:ind w:left="0" w:right="0" w:firstLine="560"/>
        <w:jc w:val="both"/>
        <w:rPr>
          <w:rFonts w:hint="eastAsia" w:ascii="宋体" w:hAnsi="宋体" w:eastAsia="宋体" w:cs="宋体"/>
          <w:sz w:val="24"/>
          <w:szCs w:val="24"/>
          <w:lang w:val="en-US"/>
        </w:rPr>
      </w:pPr>
    </w:p>
    <w:p>
      <w:pPr>
        <w:ind w:firstLine="480"/>
        <w:rPr>
          <w:rFonts w:hint="default"/>
          <w:color w:val="C00000"/>
          <w:lang w:val="en-US" w:eastAsia="zh-CN"/>
        </w:rPr>
      </w:pPr>
    </w:p>
    <w:p>
      <w:pPr>
        <w:rPr>
          <w:rFonts w:hint="eastAsia"/>
          <w:lang w:val="en-US" w:eastAsia="zh-CN"/>
        </w:rPr>
      </w:pPr>
    </w:p>
    <w:p>
      <w:pPr>
        <w:ind w:firstLine="964" w:firstLineChars="400"/>
        <w:rPr>
          <w:rFonts w:hint="eastAsia"/>
          <w:b/>
          <w:bCs/>
          <w:color w:val="C00000"/>
          <w:lang w:val="en-US" w:eastAsia="zh-CN"/>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C00000"/>
          <w:kern w:val="2"/>
          <w:sz w:val="24"/>
          <w:szCs w:val="24"/>
          <w:lang w:val="en-US" w:eastAsia="zh-CN" w:bidi="ar"/>
        </w:rPr>
      </w:pPr>
    </w:p>
    <w:p>
      <w:pPr>
        <w:keepNext w:val="0"/>
        <w:keepLines w:val="0"/>
        <w:widowControl w:val="0"/>
        <w:suppressLineNumbers w:val="0"/>
        <w:spacing w:before="0" w:beforeAutospacing="0" w:after="0" w:afterAutospacing="0"/>
        <w:ind w:left="0" w:right="0"/>
        <w:jc w:val="both"/>
        <w:rPr>
          <w:rFonts w:hint="default" w:ascii="宋体" w:hAnsi="宋体" w:eastAsia="宋体" w:cs="宋体"/>
          <w:color w:val="C00000"/>
          <w:kern w:val="2"/>
          <w:sz w:val="24"/>
          <w:szCs w:val="24"/>
          <w:lang w:val="en-US" w:eastAsia="zh-CN" w:bidi="ar"/>
        </w:rPr>
      </w:pPr>
      <w:r>
        <w:rPr>
          <w:rFonts w:hint="eastAsia" w:ascii="宋体" w:hAnsi="宋体" w:cs="宋体"/>
          <w:color w:val="C00000"/>
          <w:kern w:val="2"/>
          <w:sz w:val="24"/>
          <w:szCs w:val="24"/>
          <w:lang w:val="en-US" w:eastAsia="zh-CN" w:bidi="ar"/>
        </w:rPr>
        <w:t xml:space="preserve">   </w:t>
      </w:r>
    </w:p>
    <w:p>
      <w:pPr>
        <w:ind w:firstLine="480"/>
        <w:rPr>
          <w:rFonts w:hint="default"/>
          <w:color w:val="C00000"/>
          <w:lang w:val="en-US" w:eastAsia="zh-CN"/>
        </w:rPr>
      </w:pPr>
    </w:p>
    <w:p>
      <w:pPr>
        <w:numPr>
          <w:ilvl w:val="0"/>
          <w:numId w:val="0"/>
        </w:numPr>
        <w:rPr>
          <w:rFonts w:hint="default"/>
          <w:lang w:val="en-US" w:eastAsia="zh-CN"/>
        </w:rPr>
      </w:pPr>
    </w:p>
    <w:p>
      <w:pPr>
        <w:numPr>
          <w:ilvl w:val="0"/>
          <w:numId w:val="0"/>
        </w:numPr>
      </w:pPr>
    </w:p>
    <w:p>
      <w:pPr>
        <w:numPr>
          <w:ilvl w:val="0"/>
          <w:numId w:val="0"/>
        </w:numPr>
        <w:ind w:left="480" w:leftChars="0" w:firstLine="480" w:firstLineChars="200"/>
        <w:rPr>
          <w:rFonts w:hint="eastAsia" w:ascii="宋体" w:hAnsi="宋体" w:eastAsia="宋体" w:cs="宋体"/>
          <w:bCs/>
          <w:color w:val="000000"/>
          <w:kern w:val="28"/>
          <w:sz w:val="24"/>
          <w:szCs w:val="24"/>
          <w:lang w:val="en-US" w:eastAsia="zh-CN" w:bidi="ar"/>
        </w:rPr>
      </w:pPr>
    </w:p>
    <w:p>
      <w:pPr>
        <w:numPr>
          <w:ilvl w:val="0"/>
          <w:numId w:val="0"/>
        </w:numPr>
        <w:ind w:left="480" w:leftChars="0" w:firstLine="480" w:firstLineChars="200"/>
        <w:rPr>
          <w:rFonts w:hint="default" w:ascii="宋体" w:hAnsi="宋体" w:eastAsia="宋体" w:cs="宋体"/>
          <w:bCs/>
          <w:color w:val="000000"/>
          <w:kern w:val="28"/>
          <w:sz w:val="24"/>
          <w:szCs w:val="24"/>
          <w:lang w:val="en-US" w:eastAsia="zh-CN" w:bidi="ar"/>
        </w:rPr>
      </w:pPr>
    </w:p>
    <w:p>
      <w:pPr>
        <w:numPr>
          <w:ilvl w:val="0"/>
          <w:numId w:val="0"/>
        </w:numPr>
        <w:ind w:left="480" w:leftChars="0"/>
        <w:rPr>
          <w:rFonts w:hint="eastAsia"/>
          <w:lang w:val="en-US" w:eastAsia="zh-CN"/>
        </w:rPr>
      </w:pPr>
      <w:r>
        <w:rPr>
          <w:rFonts w:hint="eastAsia"/>
          <w:lang w:val="en-US" w:eastAsia="zh-CN"/>
        </w:rPr>
        <w:t xml:space="preserve">    </w:t>
      </w:r>
    </w:p>
    <w:p>
      <w:pPr>
        <w:numPr>
          <w:ilvl w:val="0"/>
          <w:numId w:val="0"/>
        </w:numPr>
        <w:ind w:left="480" w:leftChars="0"/>
        <w:rPr>
          <w:rFonts w:hint="default"/>
          <w:lang w:val="en-US" w:eastAsia="zh-CN"/>
        </w:rPr>
      </w:pPr>
      <w:r>
        <w:rPr>
          <w:rFonts w:hint="eastAsia"/>
          <w:lang w:val="en-US" w:eastAsia="zh-CN"/>
        </w:rPr>
        <w:t xml:space="preserve">  </w:t>
      </w:r>
    </w:p>
    <w:p>
      <w:pPr>
        <w:numPr>
          <w:ilvl w:val="0"/>
          <w:numId w:val="0"/>
        </w:numPr>
        <w:ind w:left="480" w:leftChars="0"/>
        <w:rPr>
          <w:rFonts w:hint="default"/>
          <w:lang w:val="en-US" w:eastAsia="zh-CN"/>
        </w:rPr>
      </w:pPr>
      <w:r>
        <w:rPr>
          <w:rFonts w:hint="eastAsia"/>
          <w:lang w:val="en-US" w:eastAsia="zh-CN"/>
        </w:rPr>
        <w:t xml:space="preserve"> </w:t>
      </w:r>
    </w:p>
    <w:p>
      <w:pPr>
        <w:numPr>
          <w:ilvl w:val="0"/>
          <w:numId w:val="0"/>
        </w:numPr>
        <w:ind w:left="480" w:leftChars="0"/>
        <w:rPr>
          <w:rFonts w:hint="eastAsia"/>
          <w:lang w:val="en-US" w:eastAsia="zh-CN"/>
        </w:rPr>
      </w:pPr>
    </w:p>
    <w:p>
      <w:pPr>
        <w:numPr>
          <w:ilvl w:val="0"/>
          <w:numId w:val="0"/>
        </w:numPr>
        <w:ind w:left="480" w:leftChars="0"/>
        <w:rPr>
          <w:rFonts w:hint="default"/>
          <w:lang w:val="en-US" w:eastAsia="zh-CN"/>
        </w:rPr>
      </w:pPr>
    </w:p>
    <w:p>
      <w:pPr>
        <w:numPr>
          <w:ilvl w:val="0"/>
          <w:numId w:val="0"/>
        </w:numPr>
        <w:ind w:left="480" w:leftChars="0"/>
        <w:rPr>
          <w:rFonts w:hint="eastAsia"/>
          <w:lang w:val="en-US" w:eastAsia="zh-CN"/>
        </w:rPr>
      </w:pPr>
    </w:p>
    <w:sectPr>
      <w:headerReference r:id="rId5" w:type="default"/>
      <w:footerReference r:id="rId6" w:type="default"/>
      <w:pgSz w:w="11907" w:h="16839"/>
      <w:pgMar w:top="720" w:right="720" w:bottom="720" w:left="720" w:header="567" w:footer="283"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r>
      <w:rPr>
        <w:lang w:val="zh-CN"/>
      </w:rPr>
      <w:t xml:space="preserve"> </w:t>
    </w:r>
    <w:r>
      <w:rPr>
        <w:b/>
        <w:sz w:val="24"/>
        <w:szCs w:val="24"/>
      </w:rPr>
      <w:fldChar w:fldCharType="begin"/>
    </w:r>
    <w:r>
      <w:rPr>
        <w:b/>
      </w:rPr>
      <w:instrText xml:space="preserve">PAGE</w:instrText>
    </w:r>
    <w:r>
      <w:rPr>
        <w:b/>
        <w:sz w:val="24"/>
        <w:szCs w:val="24"/>
      </w:rPr>
      <w:fldChar w:fldCharType="separate"/>
    </w:r>
    <w:r>
      <w:rPr>
        <w:b/>
      </w:rPr>
      <w:t>29</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rPr>
      <w:t>36</w:t>
    </w:r>
    <w:r>
      <w:rPr>
        <w:b/>
        <w:sz w:val="24"/>
        <w:szCs w:val="24"/>
      </w:rPr>
      <w:fldChar w:fldCharType="end"/>
    </w:r>
  </w:p>
  <w:p>
    <w:pPr>
      <w:pStyle w:val="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center" w:pos="0"/>
        <w:tab w:val="clear" w:pos="4153"/>
      </w:tabs>
      <w:ind w:right="720"/>
      <w:jc w:val="left"/>
      <w:rPr>
        <w:rFonts w:hint="default" w:eastAsiaTheme="minorEastAsia"/>
        <w:sz w:val="21"/>
        <w:szCs w:val="21"/>
        <w:lang w:val="en-US" w:eastAsia="zh-CN"/>
      </w:rPr>
    </w:pPr>
    <w:r>
      <w:rPr>
        <w:rFonts w:hint="eastAsia"/>
      </w:rPr>
      <w:t xml:space="preserve">  </w:t>
    </w:r>
    <w:r>
      <w:drawing>
        <wp:inline distT="0" distB="0" distL="0" distR="0">
          <wp:extent cx="1285875" cy="142875"/>
          <wp:effectExtent l="0" t="0" r="9525" b="9525"/>
          <wp:docPr id="67" name="图片 67" descr="中文无股票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中文无股票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285875" cy="142875"/>
                  </a:xfrm>
                  <a:prstGeom prst="rect">
                    <a:avLst/>
                  </a:prstGeom>
                  <a:noFill/>
                  <a:ln>
                    <a:noFill/>
                  </a:ln>
                </pic:spPr>
              </pic:pic>
            </a:graphicData>
          </a:graphic>
        </wp:inline>
      </w:drawing>
    </w:r>
    <w:r>
      <w:rPr>
        <w:rFonts w:hint="eastAsia"/>
        <w:lang w:val="en-US" w:eastAsia="zh-CN"/>
      </w:rPr>
      <w:t xml:space="preserve">                          </w:t>
    </w:r>
    <w:r>
      <w:rPr>
        <w:rFonts w:hint="eastAsia"/>
        <w:color w:val="000000" w:themeColor="text1"/>
        <w:lang w:val="en-US" w:eastAsia="zh-CN"/>
        <w14:textFill>
          <w14:solidFill>
            <w14:schemeClr w14:val="tx1"/>
          </w14:solidFill>
        </w14:textFill>
      </w:rPr>
      <w:t xml:space="preserve">  </w:t>
    </w:r>
    <w:r>
      <w:rPr>
        <w:rFonts w:hint="eastAsia" w:ascii="Times New Roman" w:hAnsi="Times New Roman" w:eastAsia="宋体" w:cs="Times New Roman"/>
        <w:color w:val="000000" w:themeColor="text1"/>
        <w:kern w:val="2"/>
        <w:sz w:val="21"/>
        <w:szCs w:val="24"/>
        <w:lang w:val="en-US" w:eastAsia="zh-CN" w:bidi="ar"/>
        <w14:textFill>
          <w14:solidFill>
            <w14:schemeClr w14:val="tx1"/>
          </w14:solidFill>
        </w14:textFill>
      </w:rPr>
      <w:t>西安市公共资源交易平台</w:t>
    </w:r>
    <w:r>
      <w:rPr>
        <w:rFonts w:hint="default" w:ascii="Times New Roman" w:hAnsi="Times New Roman" w:eastAsia="宋体" w:cs="Times New Roman"/>
        <w:color w:val="000000" w:themeColor="text1"/>
        <w:kern w:val="2"/>
        <w:sz w:val="21"/>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2"/>
        <w:sz w:val="21"/>
        <w:szCs w:val="24"/>
        <w:lang w:val="en-US" w:eastAsia="zh-CN" w:bidi="ar"/>
        <w14:textFill>
          <w14:solidFill>
            <w14:schemeClr w14:val="tx1"/>
          </w14:solidFill>
        </w14:textFill>
      </w:rPr>
      <w:t>工程建设交易系统（交通）</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CA095F"/>
    <w:multiLevelType w:val="singleLevel"/>
    <w:tmpl w:val="08CA095F"/>
    <w:lvl w:ilvl="0" w:tentative="0">
      <w:start w:val="4"/>
      <w:numFmt w:val="chineseCounting"/>
      <w:suff w:val="nothing"/>
      <w:lvlText w:val="%1、"/>
      <w:lvlJc w:val="left"/>
      <w:pPr>
        <w:ind w:left="802" w:leftChars="0" w:firstLine="0" w:firstLineChars="0"/>
      </w:pPr>
      <w:rPr>
        <w:rFonts w:hint="eastAsia"/>
      </w:rPr>
    </w:lvl>
  </w:abstractNum>
  <w:abstractNum w:abstractNumId="1">
    <w:nsid w:val="2C4D3EC1"/>
    <w:multiLevelType w:val="singleLevel"/>
    <w:tmpl w:val="2C4D3EC1"/>
    <w:lvl w:ilvl="0" w:tentative="0">
      <w:start w:val="2"/>
      <w:numFmt w:val="decimal"/>
      <w:suff w:val="nothing"/>
      <w:lvlText w:val="%1、"/>
      <w:lvlJc w:val="left"/>
    </w:lvl>
  </w:abstractNum>
  <w:abstractNum w:abstractNumId="2">
    <w:nsid w:val="6B0AD187"/>
    <w:multiLevelType w:val="singleLevel"/>
    <w:tmpl w:val="6B0AD187"/>
    <w:lvl w:ilvl="0" w:tentative="0">
      <w:start w:val="3"/>
      <w:numFmt w:val="decimal"/>
      <w:suff w:val="nothing"/>
      <w:lvlText w:val="%1、"/>
      <w:lvlJc w:val="left"/>
      <w:rPr>
        <w:rFonts w:hint="default"/>
        <w:color w:val="C00000"/>
      </w:rPr>
    </w:lvl>
  </w:abstractNum>
  <w:abstractNum w:abstractNumId="3">
    <w:nsid w:val="733F0B6F"/>
    <w:multiLevelType w:val="multilevel"/>
    <w:tmpl w:val="733F0B6F"/>
    <w:lvl w:ilvl="0" w:tentative="0">
      <w:start w:val="1"/>
      <w:numFmt w:val="chineseCountingThousand"/>
      <w:pStyle w:val="2"/>
      <w:lvlText w:val="第%1章"/>
      <w:lvlJc w:val="left"/>
      <w:pPr>
        <w:ind w:left="425" w:hanging="425"/>
      </w:pPr>
      <w:rPr>
        <w:rFonts w:hint="eastAsia"/>
      </w:rPr>
    </w:lvl>
    <w:lvl w:ilvl="1" w:tentative="0">
      <w:start w:val="1"/>
      <w:numFmt w:val="decimal"/>
      <w:pStyle w:val="28"/>
      <w:isLgl/>
      <w:lvlText w:val="%1.%2."/>
      <w:lvlJc w:val="left"/>
      <w:pPr>
        <w:ind w:left="567" w:hanging="567"/>
      </w:pPr>
      <w:rPr>
        <w:rFonts w:hint="eastAsia"/>
      </w:rPr>
    </w:lvl>
    <w:lvl w:ilvl="2" w:tentative="0">
      <w:start w:val="1"/>
      <w:numFmt w:val="decimal"/>
      <w:pStyle w:val="27"/>
      <w:isLgl/>
      <w:lvlText w:val="%1.%2.%3."/>
      <w:lvlJc w:val="left"/>
      <w:pPr>
        <w:ind w:left="709" w:hanging="709"/>
      </w:pPr>
      <w:rPr>
        <w:rFonts w:hint="eastAsia"/>
      </w:rPr>
    </w:lvl>
    <w:lvl w:ilvl="3" w:tentative="0">
      <w:start w:val="1"/>
      <w:numFmt w:val="decimal"/>
      <w:pStyle w:val="26"/>
      <w:isLg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A5ZTZhOGM2Yzc1ZTNkZGRiODcwZDM0NGMwZWM3NWQifQ=="/>
  </w:docVars>
  <w:rsids>
    <w:rsidRoot w:val="00293992"/>
    <w:rsid w:val="000131CD"/>
    <w:rsid w:val="000343EF"/>
    <w:rsid w:val="00096DCC"/>
    <w:rsid w:val="000A35C5"/>
    <w:rsid w:val="000C2988"/>
    <w:rsid w:val="000C2E85"/>
    <w:rsid w:val="000D077F"/>
    <w:rsid w:val="002710D1"/>
    <w:rsid w:val="00293992"/>
    <w:rsid w:val="002A0CFF"/>
    <w:rsid w:val="003A3DE7"/>
    <w:rsid w:val="003C1BED"/>
    <w:rsid w:val="00422964"/>
    <w:rsid w:val="00450BAD"/>
    <w:rsid w:val="004C0A44"/>
    <w:rsid w:val="004C234D"/>
    <w:rsid w:val="004F4BB5"/>
    <w:rsid w:val="00505C06"/>
    <w:rsid w:val="0050734F"/>
    <w:rsid w:val="005741C3"/>
    <w:rsid w:val="005D081A"/>
    <w:rsid w:val="005D6974"/>
    <w:rsid w:val="005E4886"/>
    <w:rsid w:val="005E5DB0"/>
    <w:rsid w:val="006078F0"/>
    <w:rsid w:val="00641DAB"/>
    <w:rsid w:val="006606B6"/>
    <w:rsid w:val="006E6C6F"/>
    <w:rsid w:val="00701292"/>
    <w:rsid w:val="00773CBE"/>
    <w:rsid w:val="00787262"/>
    <w:rsid w:val="007C0270"/>
    <w:rsid w:val="007F0974"/>
    <w:rsid w:val="00830CAD"/>
    <w:rsid w:val="00832A54"/>
    <w:rsid w:val="00835036"/>
    <w:rsid w:val="008517E0"/>
    <w:rsid w:val="00886BE2"/>
    <w:rsid w:val="008A2AF5"/>
    <w:rsid w:val="008D0B6A"/>
    <w:rsid w:val="00911278"/>
    <w:rsid w:val="0091330B"/>
    <w:rsid w:val="009167E1"/>
    <w:rsid w:val="00921547"/>
    <w:rsid w:val="009569AA"/>
    <w:rsid w:val="00992FE4"/>
    <w:rsid w:val="00A46D67"/>
    <w:rsid w:val="00A47D2D"/>
    <w:rsid w:val="00AA7CCF"/>
    <w:rsid w:val="00AB161C"/>
    <w:rsid w:val="00B00616"/>
    <w:rsid w:val="00B2126C"/>
    <w:rsid w:val="00B74E69"/>
    <w:rsid w:val="00B779C0"/>
    <w:rsid w:val="00B85F83"/>
    <w:rsid w:val="00BF19C5"/>
    <w:rsid w:val="00C0517A"/>
    <w:rsid w:val="00C06696"/>
    <w:rsid w:val="00C70BCC"/>
    <w:rsid w:val="00C80A0C"/>
    <w:rsid w:val="00CA0E06"/>
    <w:rsid w:val="00CC3357"/>
    <w:rsid w:val="00CE0B2C"/>
    <w:rsid w:val="00CE3B3F"/>
    <w:rsid w:val="00CF7BB5"/>
    <w:rsid w:val="00D30DE8"/>
    <w:rsid w:val="00D41E85"/>
    <w:rsid w:val="00D775F4"/>
    <w:rsid w:val="00D8392A"/>
    <w:rsid w:val="00D866B5"/>
    <w:rsid w:val="00DB4C28"/>
    <w:rsid w:val="00DC057E"/>
    <w:rsid w:val="00DC4AA2"/>
    <w:rsid w:val="00DD047D"/>
    <w:rsid w:val="00DD36B6"/>
    <w:rsid w:val="00DD699D"/>
    <w:rsid w:val="00DF5AD7"/>
    <w:rsid w:val="00E77A73"/>
    <w:rsid w:val="00E8390D"/>
    <w:rsid w:val="00EA43C2"/>
    <w:rsid w:val="00EA5F88"/>
    <w:rsid w:val="00EB0FFD"/>
    <w:rsid w:val="00EC0C49"/>
    <w:rsid w:val="00F77E51"/>
    <w:rsid w:val="00F83567"/>
    <w:rsid w:val="00FF55DE"/>
    <w:rsid w:val="01C22332"/>
    <w:rsid w:val="02230B39"/>
    <w:rsid w:val="02E04A3C"/>
    <w:rsid w:val="042050D1"/>
    <w:rsid w:val="045467F6"/>
    <w:rsid w:val="05443CBF"/>
    <w:rsid w:val="054B0F7A"/>
    <w:rsid w:val="05FB00B4"/>
    <w:rsid w:val="063F52F0"/>
    <w:rsid w:val="077571A7"/>
    <w:rsid w:val="07BE7EE5"/>
    <w:rsid w:val="0B2D4C4F"/>
    <w:rsid w:val="0B560C8B"/>
    <w:rsid w:val="0E181660"/>
    <w:rsid w:val="0ECF6C42"/>
    <w:rsid w:val="0F36102E"/>
    <w:rsid w:val="11542F40"/>
    <w:rsid w:val="11815F1E"/>
    <w:rsid w:val="11CC33A7"/>
    <w:rsid w:val="11FA07EF"/>
    <w:rsid w:val="12096398"/>
    <w:rsid w:val="12493D86"/>
    <w:rsid w:val="12A1160D"/>
    <w:rsid w:val="14AE660C"/>
    <w:rsid w:val="15D7442D"/>
    <w:rsid w:val="16B066C9"/>
    <w:rsid w:val="19694510"/>
    <w:rsid w:val="19B07DB8"/>
    <w:rsid w:val="1A0434E4"/>
    <w:rsid w:val="1C995A82"/>
    <w:rsid w:val="1CBE47DB"/>
    <w:rsid w:val="1DDB3043"/>
    <w:rsid w:val="1E7A2AF8"/>
    <w:rsid w:val="2027280B"/>
    <w:rsid w:val="213A47C0"/>
    <w:rsid w:val="2322550C"/>
    <w:rsid w:val="24937021"/>
    <w:rsid w:val="269D1FB0"/>
    <w:rsid w:val="270414DE"/>
    <w:rsid w:val="296D2F77"/>
    <w:rsid w:val="2A50631E"/>
    <w:rsid w:val="2D5B4566"/>
    <w:rsid w:val="30E56C0B"/>
    <w:rsid w:val="31DA640A"/>
    <w:rsid w:val="326C47AF"/>
    <w:rsid w:val="33B9782E"/>
    <w:rsid w:val="33CE4FB1"/>
    <w:rsid w:val="34D03879"/>
    <w:rsid w:val="38056219"/>
    <w:rsid w:val="383428ED"/>
    <w:rsid w:val="3C1A5121"/>
    <w:rsid w:val="3F1636D3"/>
    <w:rsid w:val="409F4853"/>
    <w:rsid w:val="418031B0"/>
    <w:rsid w:val="435D59ED"/>
    <w:rsid w:val="438A0837"/>
    <w:rsid w:val="44D03DE6"/>
    <w:rsid w:val="460A09F6"/>
    <w:rsid w:val="46CF5AAB"/>
    <w:rsid w:val="46FB13A3"/>
    <w:rsid w:val="470D7C27"/>
    <w:rsid w:val="47111673"/>
    <w:rsid w:val="480E207F"/>
    <w:rsid w:val="48C862B9"/>
    <w:rsid w:val="4A7A5884"/>
    <w:rsid w:val="4B206D8E"/>
    <w:rsid w:val="4B836EE2"/>
    <w:rsid w:val="4CB26324"/>
    <w:rsid w:val="4DBE32A8"/>
    <w:rsid w:val="50C36239"/>
    <w:rsid w:val="51406B93"/>
    <w:rsid w:val="516951A9"/>
    <w:rsid w:val="517F5CB2"/>
    <w:rsid w:val="5570561C"/>
    <w:rsid w:val="55D77472"/>
    <w:rsid w:val="56D24E99"/>
    <w:rsid w:val="597345AC"/>
    <w:rsid w:val="59A53776"/>
    <w:rsid w:val="5A932E77"/>
    <w:rsid w:val="5E48632F"/>
    <w:rsid w:val="5F3C09D0"/>
    <w:rsid w:val="5F7F76E0"/>
    <w:rsid w:val="600873B7"/>
    <w:rsid w:val="6082700E"/>
    <w:rsid w:val="608540BA"/>
    <w:rsid w:val="60A80AF0"/>
    <w:rsid w:val="61552A92"/>
    <w:rsid w:val="61F65563"/>
    <w:rsid w:val="63AE1EC8"/>
    <w:rsid w:val="63AE29EA"/>
    <w:rsid w:val="66D755CD"/>
    <w:rsid w:val="66E348F3"/>
    <w:rsid w:val="678E03A2"/>
    <w:rsid w:val="67AA7A24"/>
    <w:rsid w:val="67F719E5"/>
    <w:rsid w:val="69DC2306"/>
    <w:rsid w:val="6ABE2EC1"/>
    <w:rsid w:val="6B350B65"/>
    <w:rsid w:val="6B511D08"/>
    <w:rsid w:val="6DD308C1"/>
    <w:rsid w:val="6EBC0C08"/>
    <w:rsid w:val="6F116048"/>
    <w:rsid w:val="719E532A"/>
    <w:rsid w:val="71CD6C87"/>
    <w:rsid w:val="72C81CFC"/>
    <w:rsid w:val="73FB32E7"/>
    <w:rsid w:val="74935B2A"/>
    <w:rsid w:val="75105B3C"/>
    <w:rsid w:val="7532046F"/>
    <w:rsid w:val="755B7D42"/>
    <w:rsid w:val="75880A31"/>
    <w:rsid w:val="75FD0B64"/>
    <w:rsid w:val="784E63A9"/>
    <w:rsid w:val="7ACA264B"/>
    <w:rsid w:val="7B12621F"/>
    <w:rsid w:val="7C8B43E8"/>
    <w:rsid w:val="7CF41E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3"/>
    <w:autoRedefine/>
    <w:qFormat/>
    <w:uiPriority w:val="0"/>
    <w:pPr>
      <w:keepNext/>
      <w:keepLines/>
      <w:numPr>
        <w:ilvl w:val="0"/>
        <w:numId w:val="1"/>
      </w:numPr>
      <w:spacing w:before="340" w:after="330" w:line="578" w:lineRule="auto"/>
      <w:outlineLvl w:val="0"/>
    </w:pPr>
    <w:rPr>
      <w:b/>
      <w:bCs/>
      <w:kern w:val="44"/>
      <w:sz w:val="44"/>
      <w:szCs w:val="44"/>
    </w:rPr>
  </w:style>
  <w:style w:type="paragraph" w:styleId="3">
    <w:name w:val="heading 3"/>
    <w:basedOn w:val="1"/>
    <w:next w:val="1"/>
    <w:link w:val="40"/>
    <w:semiHidden/>
    <w:unhideWhenUsed/>
    <w:qFormat/>
    <w:uiPriority w:val="9"/>
    <w:pPr>
      <w:keepNext/>
      <w:keepLines/>
      <w:widowControl w:val="0"/>
      <w:suppressLineNumbers w:val="0"/>
      <w:spacing w:before="260" w:beforeAutospacing="0" w:after="260" w:afterAutospacing="0" w:line="415" w:lineRule="auto"/>
      <w:ind w:left="0" w:right="0"/>
      <w:jc w:val="both"/>
      <w:outlineLvl w:val="2"/>
    </w:pPr>
    <w:rPr>
      <w:rFonts w:hint="default" w:ascii="Times New Roman" w:hAnsi="Times New Roman" w:eastAsia="宋体" w:cs="Times New Roman"/>
      <w:b/>
      <w:bCs/>
      <w:kern w:val="2"/>
      <w:sz w:val="32"/>
      <w:szCs w:val="32"/>
      <w:lang w:val="en-US" w:eastAsia="zh-CN" w:bidi="ar"/>
    </w:rPr>
  </w:style>
  <w:style w:type="paragraph" w:styleId="4">
    <w:name w:val="heading 4"/>
    <w:basedOn w:val="1"/>
    <w:next w:val="1"/>
    <w:autoRedefine/>
    <w:qFormat/>
    <w:uiPriority w:val="0"/>
    <w:pPr>
      <w:spacing w:before="100" w:beforeAutospacing="1" w:after="100" w:afterAutospacing="1"/>
      <w:jc w:val="left"/>
      <w:outlineLvl w:val="3"/>
    </w:pPr>
    <w:rPr>
      <w:rFonts w:hint="eastAsia" w:ascii="宋体" w:hAnsi="宋体" w:eastAsia="宋体" w:cs="宋体"/>
      <w:b/>
      <w:bCs/>
      <w:kern w:val="0"/>
      <w:sz w:val="24"/>
      <w:szCs w:val="24"/>
      <w:lang w:val="en-US" w:eastAsia="zh-CN" w:bidi="ar"/>
    </w:rPr>
  </w:style>
  <w:style w:type="paragraph" w:styleId="5">
    <w:name w:val="heading 5"/>
    <w:basedOn w:val="1"/>
    <w:next w:val="1"/>
    <w:autoRedefine/>
    <w:semiHidden/>
    <w:unhideWhenUsed/>
    <w:qFormat/>
    <w:uiPriority w:val="9"/>
    <w:pPr>
      <w:keepNext/>
      <w:keepLines/>
      <w:spacing w:before="280" w:beforeLines="0" w:beforeAutospacing="0" w:after="290" w:afterLines="0" w:afterAutospacing="0" w:line="372" w:lineRule="auto"/>
      <w:outlineLvl w:val="4"/>
    </w:pPr>
    <w:rPr>
      <w:b/>
      <w:sz w:val="28"/>
    </w:rPr>
  </w:style>
  <w:style w:type="character" w:default="1" w:styleId="21">
    <w:name w:val="Default Paragraph Font"/>
    <w:autoRedefine/>
    <w:semiHidden/>
    <w:unhideWhenUsed/>
    <w:qFormat/>
    <w:uiPriority w:val="1"/>
  </w:style>
  <w:style w:type="table" w:default="1" w:styleId="20">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toc 7"/>
    <w:basedOn w:val="1"/>
    <w:next w:val="1"/>
    <w:unhideWhenUsed/>
    <w:qFormat/>
    <w:uiPriority w:val="39"/>
    <w:pPr>
      <w:ind w:left="1260"/>
      <w:jc w:val="left"/>
    </w:pPr>
    <w:rPr>
      <w:rFonts w:asciiTheme="minorHAnsi" w:hAnsiTheme="minorHAnsi"/>
      <w:sz w:val="18"/>
      <w:szCs w:val="18"/>
    </w:rPr>
  </w:style>
  <w:style w:type="paragraph" w:styleId="7">
    <w:name w:val="toc 5"/>
    <w:basedOn w:val="1"/>
    <w:next w:val="1"/>
    <w:autoRedefine/>
    <w:unhideWhenUsed/>
    <w:qFormat/>
    <w:uiPriority w:val="39"/>
    <w:pPr>
      <w:ind w:left="840"/>
      <w:jc w:val="left"/>
    </w:pPr>
    <w:rPr>
      <w:rFonts w:asciiTheme="minorHAnsi" w:hAnsiTheme="minorHAnsi"/>
      <w:sz w:val="18"/>
      <w:szCs w:val="18"/>
    </w:rPr>
  </w:style>
  <w:style w:type="paragraph" w:styleId="8">
    <w:name w:val="toc 3"/>
    <w:basedOn w:val="1"/>
    <w:next w:val="1"/>
    <w:unhideWhenUsed/>
    <w:qFormat/>
    <w:uiPriority w:val="39"/>
    <w:pPr>
      <w:ind w:left="420"/>
      <w:jc w:val="left"/>
    </w:pPr>
    <w:rPr>
      <w:rFonts w:asciiTheme="minorHAnsi" w:hAnsiTheme="minorHAnsi"/>
      <w:i/>
      <w:iCs/>
      <w:sz w:val="20"/>
      <w:szCs w:val="20"/>
    </w:rPr>
  </w:style>
  <w:style w:type="paragraph" w:styleId="9">
    <w:name w:val="toc 8"/>
    <w:basedOn w:val="1"/>
    <w:next w:val="1"/>
    <w:autoRedefine/>
    <w:unhideWhenUsed/>
    <w:qFormat/>
    <w:uiPriority w:val="39"/>
    <w:pPr>
      <w:ind w:left="1470"/>
      <w:jc w:val="left"/>
    </w:pPr>
    <w:rPr>
      <w:rFonts w:asciiTheme="minorHAnsi" w:hAnsiTheme="minorHAnsi"/>
      <w:sz w:val="18"/>
      <w:szCs w:val="18"/>
    </w:rPr>
  </w:style>
  <w:style w:type="paragraph" w:styleId="10">
    <w:name w:val="Date"/>
    <w:basedOn w:val="1"/>
    <w:next w:val="1"/>
    <w:link w:val="38"/>
    <w:autoRedefine/>
    <w:semiHidden/>
    <w:unhideWhenUsed/>
    <w:qFormat/>
    <w:uiPriority w:val="99"/>
    <w:pPr>
      <w:ind w:left="100" w:leftChars="2500"/>
    </w:pPr>
  </w:style>
  <w:style w:type="paragraph" w:styleId="11">
    <w:name w:val="footer"/>
    <w:basedOn w:val="1"/>
    <w:link w:val="24"/>
    <w:autoRedefine/>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12">
    <w:name w:val="header"/>
    <w:basedOn w:val="1"/>
    <w:link w:val="32"/>
    <w:autoRedefine/>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3">
    <w:name w:val="toc 1"/>
    <w:basedOn w:val="1"/>
    <w:next w:val="1"/>
    <w:qFormat/>
    <w:uiPriority w:val="39"/>
    <w:pPr>
      <w:spacing w:before="120" w:after="120"/>
      <w:jc w:val="left"/>
    </w:pPr>
    <w:rPr>
      <w:rFonts w:asciiTheme="minorHAnsi" w:hAnsiTheme="minorHAnsi"/>
      <w:b/>
      <w:bCs/>
      <w:caps/>
      <w:sz w:val="20"/>
      <w:szCs w:val="20"/>
    </w:rPr>
  </w:style>
  <w:style w:type="paragraph" w:styleId="14">
    <w:name w:val="toc 4"/>
    <w:basedOn w:val="1"/>
    <w:next w:val="1"/>
    <w:autoRedefine/>
    <w:unhideWhenUsed/>
    <w:qFormat/>
    <w:uiPriority w:val="39"/>
    <w:pPr>
      <w:ind w:left="630"/>
      <w:jc w:val="left"/>
    </w:pPr>
    <w:rPr>
      <w:rFonts w:asciiTheme="minorHAnsi" w:hAnsiTheme="minorHAnsi"/>
      <w:sz w:val="18"/>
      <w:szCs w:val="18"/>
    </w:rPr>
  </w:style>
  <w:style w:type="paragraph" w:styleId="15">
    <w:name w:val="Subtitle"/>
    <w:basedOn w:val="2"/>
    <w:next w:val="1"/>
    <w:link w:val="31"/>
    <w:autoRedefine/>
    <w:qFormat/>
    <w:uiPriority w:val="0"/>
    <w:pPr>
      <w:spacing w:before="240" w:after="60" w:line="312" w:lineRule="auto"/>
      <w:jc w:val="left"/>
      <w:outlineLvl w:val="1"/>
    </w:pPr>
    <w:rPr>
      <w:rFonts w:ascii="Calibri Light" w:hAnsi="Calibri Light" w:eastAsiaTheme="minorEastAsia" w:cstheme="minorBidi"/>
      <w:b w:val="0"/>
      <w:bCs w:val="0"/>
      <w:kern w:val="28"/>
      <w:sz w:val="32"/>
      <w:szCs w:val="32"/>
    </w:rPr>
  </w:style>
  <w:style w:type="paragraph" w:styleId="16">
    <w:name w:val="toc 6"/>
    <w:basedOn w:val="1"/>
    <w:next w:val="1"/>
    <w:unhideWhenUsed/>
    <w:qFormat/>
    <w:uiPriority w:val="39"/>
    <w:pPr>
      <w:ind w:left="1050"/>
      <w:jc w:val="left"/>
    </w:pPr>
    <w:rPr>
      <w:rFonts w:asciiTheme="minorHAnsi" w:hAnsiTheme="minorHAnsi"/>
      <w:sz w:val="18"/>
      <w:szCs w:val="18"/>
    </w:rPr>
  </w:style>
  <w:style w:type="paragraph" w:styleId="17">
    <w:name w:val="toc 2"/>
    <w:basedOn w:val="1"/>
    <w:next w:val="1"/>
    <w:qFormat/>
    <w:uiPriority w:val="39"/>
    <w:pPr>
      <w:ind w:left="210"/>
      <w:jc w:val="left"/>
    </w:pPr>
    <w:rPr>
      <w:rFonts w:asciiTheme="minorHAnsi" w:hAnsiTheme="minorHAnsi"/>
      <w:smallCaps/>
      <w:sz w:val="20"/>
      <w:szCs w:val="20"/>
    </w:rPr>
  </w:style>
  <w:style w:type="paragraph" w:styleId="18">
    <w:name w:val="toc 9"/>
    <w:basedOn w:val="1"/>
    <w:next w:val="1"/>
    <w:unhideWhenUsed/>
    <w:qFormat/>
    <w:uiPriority w:val="39"/>
    <w:pPr>
      <w:ind w:left="1680"/>
      <w:jc w:val="left"/>
    </w:pPr>
    <w:rPr>
      <w:rFonts w:asciiTheme="minorHAnsi" w:hAnsiTheme="minorHAnsi"/>
      <w:sz w:val="18"/>
      <w:szCs w:val="18"/>
    </w:rPr>
  </w:style>
  <w:style w:type="paragraph" w:styleId="19">
    <w:name w:val="Title"/>
    <w:basedOn w:val="1"/>
    <w:next w:val="1"/>
    <w:link w:val="37"/>
    <w:qFormat/>
    <w:uiPriority w:val="10"/>
    <w:pPr>
      <w:spacing w:before="240" w:after="60"/>
      <w:jc w:val="center"/>
      <w:outlineLvl w:val="0"/>
    </w:pPr>
    <w:rPr>
      <w:rFonts w:asciiTheme="majorHAnsi" w:hAnsiTheme="majorHAnsi" w:eastAsiaTheme="majorEastAsia" w:cstheme="majorBidi"/>
      <w:b/>
      <w:bCs/>
      <w:sz w:val="32"/>
      <w:szCs w:val="32"/>
    </w:rPr>
  </w:style>
  <w:style w:type="character" w:styleId="22">
    <w:name w:val="Hyperlink"/>
    <w:autoRedefine/>
    <w:qFormat/>
    <w:uiPriority w:val="99"/>
    <w:rPr>
      <w:color w:val="0563C1"/>
      <w:u w:val="single"/>
    </w:rPr>
  </w:style>
  <w:style w:type="character" w:customStyle="1" w:styleId="23">
    <w:name w:val="标题 1 字符"/>
    <w:basedOn w:val="21"/>
    <w:link w:val="2"/>
    <w:qFormat/>
    <w:uiPriority w:val="0"/>
    <w:rPr>
      <w:rFonts w:ascii="Times New Roman" w:hAnsi="Times New Roman" w:eastAsia="宋体" w:cs="Times New Roman"/>
      <w:b/>
      <w:bCs/>
      <w:kern w:val="44"/>
      <w:sz w:val="44"/>
      <w:szCs w:val="44"/>
    </w:rPr>
  </w:style>
  <w:style w:type="character" w:customStyle="1" w:styleId="24">
    <w:name w:val="页脚 字符"/>
    <w:link w:val="11"/>
    <w:qFormat/>
    <w:uiPriority w:val="99"/>
    <w:rPr>
      <w:sz w:val="18"/>
      <w:szCs w:val="18"/>
    </w:rPr>
  </w:style>
  <w:style w:type="character" w:customStyle="1" w:styleId="25">
    <w:name w:val="liuy-标题4 Char"/>
    <w:link w:val="26"/>
    <w:qFormat/>
    <w:uiPriority w:val="0"/>
    <w:rPr>
      <w:rFonts w:ascii="Calibri Light" w:hAnsi="Calibri Light"/>
      <w:sz w:val="24"/>
      <w:szCs w:val="24"/>
    </w:rPr>
  </w:style>
  <w:style w:type="paragraph" w:customStyle="1" w:styleId="26">
    <w:name w:val="liuy-标题4"/>
    <w:basedOn w:val="27"/>
    <w:next w:val="1"/>
    <w:link w:val="25"/>
    <w:autoRedefine/>
    <w:qFormat/>
    <w:uiPriority w:val="0"/>
    <w:pPr>
      <w:numPr>
        <w:ilvl w:val="3"/>
      </w:numPr>
      <w:jc w:val="left"/>
      <w:outlineLvl w:val="3"/>
    </w:pPr>
    <w:rPr>
      <w:sz w:val="24"/>
    </w:rPr>
  </w:style>
  <w:style w:type="paragraph" w:customStyle="1" w:styleId="27">
    <w:name w:val="liuy-标题3"/>
    <w:basedOn w:val="28"/>
    <w:next w:val="1"/>
    <w:link w:val="29"/>
    <w:qFormat/>
    <w:uiPriority w:val="0"/>
    <w:pPr>
      <w:numPr>
        <w:ilvl w:val="2"/>
      </w:numPr>
      <w:outlineLvl w:val="2"/>
    </w:pPr>
    <w:rPr>
      <w:rFonts w:ascii="Calibri Light" w:hAnsi="Calibri Light"/>
    </w:rPr>
  </w:style>
  <w:style w:type="paragraph" w:customStyle="1" w:styleId="28">
    <w:name w:val="liuy-标题2"/>
    <w:basedOn w:val="1"/>
    <w:next w:val="1"/>
    <w:link w:val="30"/>
    <w:qFormat/>
    <w:uiPriority w:val="0"/>
    <w:pPr>
      <w:numPr>
        <w:ilvl w:val="1"/>
        <w:numId w:val="1"/>
      </w:numPr>
      <w:ind w:left="100" w:leftChars="100" w:right="100" w:rightChars="100"/>
      <w:outlineLvl w:val="1"/>
    </w:pPr>
    <w:rPr>
      <w:rFonts w:asciiTheme="minorHAnsi" w:hAnsiTheme="minorHAnsi" w:eastAsiaTheme="minorEastAsia" w:cstheme="minorBidi"/>
      <w:sz w:val="30"/>
    </w:rPr>
  </w:style>
  <w:style w:type="character" w:customStyle="1" w:styleId="29">
    <w:name w:val="liuy-标题3 Char"/>
    <w:link w:val="27"/>
    <w:autoRedefine/>
    <w:qFormat/>
    <w:uiPriority w:val="0"/>
    <w:rPr>
      <w:rFonts w:ascii="Calibri Light" w:hAnsi="Calibri Light"/>
      <w:sz w:val="30"/>
      <w:szCs w:val="24"/>
    </w:rPr>
  </w:style>
  <w:style w:type="character" w:customStyle="1" w:styleId="30">
    <w:name w:val="liuy-标题2 Char"/>
    <w:link w:val="28"/>
    <w:qFormat/>
    <w:uiPriority w:val="0"/>
    <w:rPr>
      <w:sz w:val="30"/>
      <w:szCs w:val="24"/>
    </w:rPr>
  </w:style>
  <w:style w:type="character" w:customStyle="1" w:styleId="31">
    <w:name w:val="副标题 字符"/>
    <w:link w:val="15"/>
    <w:qFormat/>
    <w:uiPriority w:val="0"/>
    <w:rPr>
      <w:rFonts w:ascii="Calibri Light" w:hAnsi="Calibri Light"/>
      <w:kern w:val="28"/>
      <w:sz w:val="32"/>
      <w:szCs w:val="32"/>
    </w:rPr>
  </w:style>
  <w:style w:type="character" w:customStyle="1" w:styleId="32">
    <w:name w:val="页眉 字符"/>
    <w:link w:val="12"/>
    <w:qFormat/>
    <w:uiPriority w:val="99"/>
    <w:rPr>
      <w:sz w:val="18"/>
      <w:szCs w:val="18"/>
    </w:rPr>
  </w:style>
  <w:style w:type="character" w:customStyle="1" w:styleId="33">
    <w:name w:val="副标题 Char1"/>
    <w:basedOn w:val="21"/>
    <w:qFormat/>
    <w:uiPriority w:val="11"/>
    <w:rPr>
      <w:rFonts w:eastAsia="宋体" w:asciiTheme="majorHAnsi" w:hAnsiTheme="majorHAnsi" w:cstheme="majorBidi"/>
      <w:b/>
      <w:bCs/>
      <w:kern w:val="28"/>
      <w:sz w:val="32"/>
      <w:szCs w:val="32"/>
    </w:rPr>
  </w:style>
  <w:style w:type="character" w:customStyle="1" w:styleId="34">
    <w:name w:val="页脚 Char1"/>
    <w:basedOn w:val="21"/>
    <w:semiHidden/>
    <w:qFormat/>
    <w:uiPriority w:val="99"/>
    <w:rPr>
      <w:rFonts w:ascii="Times New Roman" w:hAnsi="Times New Roman" w:eastAsia="宋体" w:cs="Times New Roman"/>
      <w:sz w:val="18"/>
      <w:szCs w:val="18"/>
    </w:rPr>
  </w:style>
  <w:style w:type="character" w:customStyle="1" w:styleId="35">
    <w:name w:val="页眉 Char1"/>
    <w:basedOn w:val="21"/>
    <w:semiHidden/>
    <w:qFormat/>
    <w:uiPriority w:val="99"/>
    <w:rPr>
      <w:rFonts w:ascii="Times New Roman" w:hAnsi="Times New Roman" w:eastAsia="宋体" w:cs="Times New Roman"/>
      <w:sz w:val="18"/>
      <w:szCs w:val="18"/>
    </w:rPr>
  </w:style>
  <w:style w:type="paragraph" w:styleId="36">
    <w:name w:val="List Paragraph"/>
    <w:basedOn w:val="1"/>
    <w:qFormat/>
    <w:uiPriority w:val="34"/>
    <w:pPr>
      <w:ind w:firstLine="420" w:firstLineChars="200"/>
    </w:pPr>
  </w:style>
  <w:style w:type="character" w:customStyle="1" w:styleId="37">
    <w:name w:val="标题 字符"/>
    <w:basedOn w:val="21"/>
    <w:link w:val="19"/>
    <w:qFormat/>
    <w:uiPriority w:val="10"/>
    <w:rPr>
      <w:rFonts w:asciiTheme="majorHAnsi" w:hAnsiTheme="majorHAnsi" w:eastAsiaTheme="majorEastAsia" w:cstheme="majorBidi"/>
      <w:b/>
      <w:bCs/>
      <w:kern w:val="2"/>
      <w:sz w:val="32"/>
      <w:szCs w:val="32"/>
    </w:rPr>
  </w:style>
  <w:style w:type="character" w:customStyle="1" w:styleId="38">
    <w:name w:val="日期 字符"/>
    <w:basedOn w:val="21"/>
    <w:link w:val="10"/>
    <w:semiHidden/>
    <w:qFormat/>
    <w:uiPriority w:val="99"/>
    <w:rPr>
      <w:rFonts w:ascii="Times New Roman" w:hAnsi="Times New Roman" w:eastAsia="宋体" w:cs="Times New Roman"/>
      <w:kern w:val="2"/>
      <w:sz w:val="24"/>
      <w:szCs w:val="24"/>
    </w:rPr>
  </w:style>
  <w:style w:type="paragraph" w:customStyle="1" w:styleId="39">
    <w:name w:val="TOC 标题1"/>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0">
    <w:name w:val="标题 3 字符"/>
    <w:basedOn w:val="21"/>
    <w:link w:val="3"/>
    <w:uiPriority w:val="0"/>
    <w:rPr>
      <w:b/>
      <w:bCs/>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1.xml"/><Relationship Id="rId59" Type="http://schemas.openxmlformats.org/officeDocument/2006/relationships/fontTable" Target="fontTable.xml"/><Relationship Id="rId58" Type="http://schemas.openxmlformats.org/officeDocument/2006/relationships/customXml" Target="../customXml/item1.xml"/><Relationship Id="rId57" Type="http://schemas.openxmlformats.org/officeDocument/2006/relationships/numbering" Target="numbering.xml"/><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header" Target="head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123CC6-9441-4637-BD97-C2118EBE1230}">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14</Pages>
  <Words>1876</Words>
  <Characters>2074</Characters>
  <Lines>40</Lines>
  <Paragraphs>11</Paragraphs>
  <TotalTime>5</TotalTime>
  <ScaleCrop>false</ScaleCrop>
  <LinksUpToDate>false</LinksUpToDate>
  <CharactersWithSpaces>2093</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2017-12-06T11:27:00Z</dcterms:created>
  <dc:creator>jiangp-b@gloodon</dc:creator>
  <cp:lastModifiedBy>@Lifebloom@</cp:lastModifiedBy>
  <dcterms:modified xsi:type="dcterms:W3CDTF">2024-03-15T07:47:32Z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C88409D8F7BE463F916C97F4E9024F92_13</vt:lpwstr>
  </property>
</Properties>
</file>